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4530A" w:rsidRDefault="009C1D3D">
      <w:pPr>
        <w:spacing w:after="240" w:line="360" w:lineRule="auto"/>
        <w:rPr>
          <w:rFonts w:ascii="Times New Roman" w:eastAsia="Times New Roman" w:hAnsi="Times New Roman" w:cs="Times New Roman"/>
          <w:sz w:val="24"/>
          <w:szCs w:val="24"/>
        </w:rPr>
      </w:pPr>
      <w:bookmarkStart w:id="0" w:name="_GoBack"/>
      <w:bookmarkEnd w:id="0"/>
      <w:r>
        <w:rPr>
          <w:rFonts w:ascii="Times New Roman" w:eastAsia="Times New Roman" w:hAnsi="Times New Roman" w:cs="Times New Roman"/>
          <w:sz w:val="24"/>
          <w:szCs w:val="24"/>
        </w:rPr>
        <w:br/>
      </w:r>
      <w:r>
        <w:rPr>
          <w:b/>
          <w:noProof/>
          <w:color w:val="002060"/>
          <w:lang w:val="es-SV"/>
        </w:rPr>
        <w:drawing>
          <wp:inline distT="0" distB="0" distL="0" distR="0">
            <wp:extent cx="693420" cy="655320"/>
            <wp:effectExtent l="0" t="0" r="0" b="0"/>
            <wp:docPr id="3" name="image1.png" descr="1000px-Escudo ES"/>
            <wp:cNvGraphicFramePr/>
            <a:graphic xmlns:a="http://schemas.openxmlformats.org/drawingml/2006/main">
              <a:graphicData uri="http://schemas.openxmlformats.org/drawingml/2006/picture">
                <pic:pic xmlns:pic="http://schemas.openxmlformats.org/drawingml/2006/picture">
                  <pic:nvPicPr>
                    <pic:cNvPr id="0" name="image1.png" descr="1000px-Escudo ES"/>
                    <pic:cNvPicPr preferRelativeResize="0"/>
                  </pic:nvPicPr>
                  <pic:blipFill>
                    <a:blip r:embed="rId8"/>
                    <a:srcRect/>
                    <a:stretch>
                      <a:fillRect/>
                    </a:stretch>
                  </pic:blipFill>
                  <pic:spPr>
                    <a:xfrm>
                      <a:off x="0" y="0"/>
                      <a:ext cx="693420" cy="655320"/>
                    </a:xfrm>
                    <a:prstGeom prst="rect">
                      <a:avLst/>
                    </a:prstGeom>
                    <a:ln/>
                  </pic:spPr>
                </pic:pic>
              </a:graphicData>
            </a:graphic>
          </wp:inline>
        </w:drawing>
      </w:r>
      <w:r>
        <w:rPr>
          <w:rFonts w:ascii="Times New Roman" w:eastAsia="Times New Roman" w:hAnsi="Times New Roman" w:cs="Times New Roman"/>
          <w:sz w:val="24"/>
          <w:szCs w:val="24"/>
        </w:rPr>
        <w:t xml:space="preserve">                                                                        </w:t>
      </w:r>
      <w:r>
        <w:rPr>
          <w:rFonts w:ascii="Times New Roman" w:eastAsia="Times New Roman" w:hAnsi="Times New Roman" w:cs="Times New Roman"/>
          <w:noProof/>
          <w:sz w:val="24"/>
          <w:szCs w:val="24"/>
          <w:lang w:val="es-SV"/>
        </w:rPr>
        <w:drawing>
          <wp:inline distT="0" distB="0" distL="0" distR="0">
            <wp:extent cx="2164080" cy="723900"/>
            <wp:effectExtent l="0" t="0" r="0" b="0"/>
            <wp:docPr id="4" name="image2.png" descr="4- iaip_horizontal_ss"/>
            <wp:cNvGraphicFramePr/>
            <a:graphic xmlns:a="http://schemas.openxmlformats.org/drawingml/2006/main">
              <a:graphicData uri="http://schemas.openxmlformats.org/drawingml/2006/picture">
                <pic:pic xmlns:pic="http://schemas.openxmlformats.org/drawingml/2006/picture">
                  <pic:nvPicPr>
                    <pic:cNvPr id="0" name="image2.png" descr="4- iaip_horizontal_ss"/>
                    <pic:cNvPicPr preferRelativeResize="0"/>
                  </pic:nvPicPr>
                  <pic:blipFill>
                    <a:blip r:embed="rId9"/>
                    <a:srcRect/>
                    <a:stretch>
                      <a:fillRect/>
                    </a:stretch>
                  </pic:blipFill>
                  <pic:spPr>
                    <a:xfrm>
                      <a:off x="0" y="0"/>
                      <a:ext cx="2164080" cy="723900"/>
                    </a:xfrm>
                    <a:prstGeom prst="rect">
                      <a:avLst/>
                    </a:prstGeom>
                    <a:ln/>
                  </pic:spPr>
                </pic:pic>
              </a:graphicData>
            </a:graphic>
          </wp:inline>
        </w:drawing>
      </w:r>
    </w:p>
    <w:p w:rsidR="00E4530A" w:rsidRDefault="009C1D3D">
      <w:pPr>
        <w:spacing w:after="20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b/>
          <w:color w:val="002060"/>
          <w:sz w:val="24"/>
          <w:szCs w:val="24"/>
        </w:rPr>
        <w:t>NUE 1-D-2020 (AC)</w:t>
      </w:r>
    </w:p>
    <w:p w:rsidR="00E4530A" w:rsidRDefault="009C1D3D">
      <w:pPr>
        <w:spacing w:after="20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b/>
          <w:color w:val="002060"/>
          <w:sz w:val="24"/>
          <w:szCs w:val="24"/>
        </w:rPr>
        <w:t>              Escalante Saracais contra Directora General de Asuntos Jurídicos del Ministerio de Relaciones Exteriores</w:t>
      </w:r>
    </w:p>
    <w:p w:rsidR="00E4530A" w:rsidRDefault="009C1D3D">
      <w:pPr>
        <w:spacing w:after="200" w:line="360" w:lineRule="auto"/>
        <w:ind w:firstLine="720"/>
        <w:rPr>
          <w:rFonts w:ascii="Times New Roman" w:eastAsia="Times New Roman" w:hAnsi="Times New Roman" w:cs="Times New Roman"/>
          <w:sz w:val="24"/>
          <w:szCs w:val="24"/>
        </w:rPr>
      </w:pPr>
      <w:r>
        <w:rPr>
          <w:rFonts w:ascii="Times New Roman" w:eastAsia="Times New Roman" w:hAnsi="Times New Roman" w:cs="Times New Roman"/>
          <w:b/>
          <w:color w:val="002060"/>
          <w:sz w:val="24"/>
          <w:szCs w:val="24"/>
        </w:rPr>
        <w:t>                                                  Sobreseimiento</w:t>
      </w:r>
    </w:p>
    <w:p w:rsidR="00E4530A" w:rsidRDefault="009C1D3D">
      <w:pPr>
        <w:spacing w:after="200" w:line="360" w:lineRule="auto"/>
        <w:jc w:val="both"/>
        <w:rPr>
          <w:rFonts w:ascii="Times New Roman" w:eastAsia="Times New Roman" w:hAnsi="Times New Roman" w:cs="Times New Roman"/>
          <w:sz w:val="24"/>
          <w:szCs w:val="24"/>
        </w:rPr>
      </w:pPr>
      <w:r>
        <w:rPr>
          <w:rFonts w:ascii="Times New Roman" w:eastAsia="Times New Roman" w:hAnsi="Times New Roman" w:cs="Times New Roman"/>
          <w:b/>
          <w:color w:val="000000"/>
          <w:sz w:val="24"/>
          <w:szCs w:val="24"/>
        </w:rPr>
        <w:t>INSTITUTO DE ACCESO A LA INFORMACIÓN PÚBLICA</w:t>
      </w:r>
      <w:r>
        <w:rPr>
          <w:rFonts w:ascii="Times New Roman" w:eastAsia="Times New Roman" w:hAnsi="Times New Roman" w:cs="Times New Roman"/>
          <w:color w:val="000000"/>
          <w:sz w:val="24"/>
          <w:szCs w:val="24"/>
        </w:rPr>
        <w:t>: San Salvador, a las catorce horas con veintiún minutos del veintiséis de junio de dos mil veinte.</w:t>
      </w:r>
      <w:r>
        <w:rPr>
          <w:rFonts w:ascii="Times New Roman" w:eastAsia="Times New Roman" w:hAnsi="Times New Roman" w:cs="Times New Roman"/>
          <w:b/>
          <w:color w:val="000000"/>
          <w:sz w:val="24"/>
          <w:szCs w:val="24"/>
        </w:rPr>
        <w:t> </w:t>
      </w:r>
    </w:p>
    <w:p w:rsidR="00E4530A" w:rsidRDefault="009C1D3D">
      <w:pPr>
        <w:numPr>
          <w:ilvl w:val="0"/>
          <w:numId w:val="1"/>
        </w:numPr>
        <w:spacing w:after="240" w:line="360" w:lineRule="auto"/>
        <w:jc w:val="both"/>
        <w:rPr>
          <w:rFonts w:ascii="Times New Roman" w:eastAsia="Times New Roman" w:hAnsi="Times New Roman" w:cs="Times New Roman"/>
          <w:b/>
          <w:i/>
          <w:color w:val="000000"/>
          <w:sz w:val="24"/>
          <w:szCs w:val="24"/>
        </w:rPr>
      </w:pPr>
      <w:r>
        <w:rPr>
          <w:rFonts w:ascii="Times New Roman" w:eastAsia="Times New Roman" w:hAnsi="Times New Roman" w:cs="Times New Roman"/>
          <w:b/>
          <w:i/>
          <w:color w:val="000000"/>
          <w:sz w:val="24"/>
          <w:szCs w:val="24"/>
        </w:rPr>
        <w:t>Descripción del caso</w:t>
      </w:r>
    </w:p>
    <w:p w:rsidR="00E4530A" w:rsidRDefault="009C1D3D">
      <w:pPr>
        <w:spacing w:after="240" w:line="36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El presente procedimiento</w:t>
      </w:r>
      <w:r>
        <w:rPr>
          <w:rFonts w:ascii="Times New Roman" w:eastAsia="Times New Roman" w:hAnsi="Times New Roman" w:cs="Times New Roman"/>
          <w:color w:val="000000"/>
          <w:sz w:val="24"/>
          <w:szCs w:val="24"/>
        </w:rPr>
        <w:t xml:space="preserve"> administrativo sancionador, ha sido promovido por el ciudadano </w:t>
      </w:r>
      <w:r>
        <w:rPr>
          <w:rFonts w:ascii="Times New Roman" w:eastAsia="Times New Roman" w:hAnsi="Times New Roman" w:cs="Times New Roman"/>
          <w:b/>
          <w:color w:val="000000"/>
          <w:sz w:val="24"/>
          <w:szCs w:val="24"/>
        </w:rPr>
        <w:t>Manuel Ernesto Escalante Saracais</w:t>
      </w:r>
      <w:r>
        <w:rPr>
          <w:rFonts w:ascii="Times New Roman" w:eastAsia="Times New Roman" w:hAnsi="Times New Roman" w:cs="Times New Roman"/>
          <w:color w:val="000000"/>
          <w:sz w:val="24"/>
          <w:szCs w:val="24"/>
        </w:rPr>
        <w:t xml:space="preserve"> contra la funcionaria pública </w:t>
      </w:r>
      <w:r>
        <w:rPr>
          <w:rFonts w:ascii="Times New Roman" w:eastAsia="Times New Roman" w:hAnsi="Times New Roman" w:cs="Times New Roman"/>
          <w:b/>
          <w:color w:val="000000"/>
          <w:sz w:val="24"/>
          <w:szCs w:val="24"/>
        </w:rPr>
        <w:t xml:space="preserve">Julia María Somoza de Batista, </w:t>
      </w:r>
      <w:r>
        <w:rPr>
          <w:rFonts w:ascii="Times New Roman" w:eastAsia="Times New Roman" w:hAnsi="Times New Roman" w:cs="Times New Roman"/>
          <w:color w:val="000000"/>
          <w:sz w:val="24"/>
          <w:szCs w:val="24"/>
        </w:rPr>
        <w:t>Directora General de Asuntos Jurídicos del Ministerio de Relaciones Exteriores, por la presunta i</w:t>
      </w:r>
      <w:r>
        <w:rPr>
          <w:rFonts w:ascii="Times New Roman" w:eastAsia="Times New Roman" w:hAnsi="Times New Roman" w:cs="Times New Roman"/>
          <w:color w:val="000000"/>
          <w:sz w:val="24"/>
          <w:szCs w:val="24"/>
        </w:rPr>
        <w:t>nfracción descrita en la letra “e” del apartado de las infracciones muy graves del art. 76 de la LAIP, consistente en “</w:t>
      </w:r>
      <w:r>
        <w:rPr>
          <w:rFonts w:ascii="Times New Roman" w:eastAsia="Times New Roman" w:hAnsi="Times New Roman" w:cs="Times New Roman"/>
          <w:i/>
          <w:color w:val="000000"/>
          <w:sz w:val="24"/>
          <w:szCs w:val="24"/>
        </w:rPr>
        <w:t>negarse a entregar información solicitada, sin la debida justificación”</w:t>
      </w:r>
      <w:r>
        <w:rPr>
          <w:rFonts w:ascii="Times New Roman" w:eastAsia="Times New Roman" w:hAnsi="Times New Roman" w:cs="Times New Roman"/>
          <w:color w:val="000000"/>
          <w:sz w:val="24"/>
          <w:szCs w:val="24"/>
        </w:rPr>
        <w:t xml:space="preserve">, esto en relación a la solicitud de información realizada con referencia </w:t>
      </w:r>
      <w:r>
        <w:rPr>
          <w:rFonts w:ascii="Times New Roman" w:eastAsia="Times New Roman" w:hAnsi="Times New Roman" w:cs="Times New Roman"/>
          <w:color w:val="000000"/>
          <w:sz w:val="23"/>
          <w:szCs w:val="23"/>
        </w:rPr>
        <w:t>SAI 229-2019 (1), y que este Instituto conoció en alzada dentro del expediente NUE 264-A-2019 (AC).</w:t>
      </w:r>
    </w:p>
    <w:p w:rsidR="00E4530A" w:rsidRDefault="009C1D3D">
      <w:pPr>
        <w:spacing w:after="240" w:line="36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Respecto a lo cual este Instituto en auto de fecha 13 de enero de 2020, admitió di</w:t>
      </w:r>
      <w:r>
        <w:rPr>
          <w:rFonts w:ascii="Times New Roman" w:eastAsia="Times New Roman" w:hAnsi="Times New Roman" w:cs="Times New Roman"/>
          <w:color w:val="000000"/>
          <w:sz w:val="24"/>
          <w:szCs w:val="24"/>
        </w:rPr>
        <w:t>cha denuncia y requirió a la parte denunciada su informe de defensa, de conformidad a lo establecido en el art. 88 de la LAIP. </w:t>
      </w:r>
    </w:p>
    <w:p w:rsidR="00E4530A" w:rsidRDefault="009C1D3D">
      <w:pPr>
        <w:spacing w:before="240" w:after="240" w:line="36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En atención a lo cual, el 22 de enero de 2020,</w:t>
      </w:r>
      <w:r>
        <w:rPr>
          <w:rFonts w:ascii="Times New Roman" w:eastAsia="Times New Roman" w:hAnsi="Times New Roman" w:cs="Times New Roman"/>
          <w:b/>
          <w:color w:val="000000"/>
          <w:sz w:val="24"/>
          <w:szCs w:val="24"/>
        </w:rPr>
        <w:t xml:space="preserve"> el denunciante </w:t>
      </w:r>
      <w:r>
        <w:rPr>
          <w:rFonts w:ascii="Times New Roman" w:eastAsia="Times New Roman" w:hAnsi="Times New Roman" w:cs="Times New Roman"/>
          <w:color w:val="000000"/>
          <w:sz w:val="24"/>
          <w:szCs w:val="24"/>
        </w:rPr>
        <w:t>remitió vía correo electrónico a este Instituto, escrito por medio</w:t>
      </w:r>
      <w:r>
        <w:rPr>
          <w:rFonts w:ascii="Times New Roman" w:eastAsia="Times New Roman" w:hAnsi="Times New Roman" w:cs="Times New Roman"/>
          <w:color w:val="000000"/>
          <w:sz w:val="24"/>
          <w:szCs w:val="24"/>
        </w:rPr>
        <w:t xml:space="preserve"> del cual expresa su conformidad con la información que le fue remitida por parte del Ministerio de Relaciones Exteriores (MRREE), considerando que su derecho de acceso a información pública, ha sido satisfecho. Que ante tal motivo desiste de su segunda pe</w:t>
      </w:r>
      <w:r>
        <w:rPr>
          <w:rFonts w:ascii="Times New Roman" w:eastAsia="Times New Roman" w:hAnsi="Times New Roman" w:cs="Times New Roman"/>
          <w:color w:val="000000"/>
          <w:sz w:val="24"/>
          <w:szCs w:val="24"/>
        </w:rPr>
        <w:t xml:space="preserve">tición -de iniciar proceso administrativo sancionatorio </w:t>
      </w:r>
      <w:r>
        <w:rPr>
          <w:rFonts w:ascii="Times New Roman" w:eastAsia="Times New Roman" w:hAnsi="Times New Roman" w:cs="Times New Roman"/>
          <w:color w:val="000000"/>
          <w:sz w:val="24"/>
          <w:szCs w:val="24"/>
        </w:rPr>
        <w:lastRenderedPageBreak/>
        <w:t xml:space="preserve">contra </w:t>
      </w:r>
      <w:r>
        <w:rPr>
          <w:rFonts w:ascii="Times New Roman" w:eastAsia="Times New Roman" w:hAnsi="Times New Roman" w:cs="Times New Roman"/>
          <w:b/>
          <w:color w:val="000000"/>
          <w:sz w:val="24"/>
          <w:szCs w:val="24"/>
        </w:rPr>
        <w:t>Somoza de Batista</w:t>
      </w:r>
      <w:r>
        <w:rPr>
          <w:rFonts w:ascii="Times New Roman" w:eastAsia="Times New Roman" w:hAnsi="Times New Roman" w:cs="Times New Roman"/>
          <w:color w:val="000000"/>
          <w:sz w:val="24"/>
          <w:szCs w:val="24"/>
        </w:rPr>
        <w:t>- en el escrito de apelación de fecha 24 de octubre de 2019-, por no considerar necesario que se abra un proceso sancionador contra la titular de la Dirección General de Asunto</w:t>
      </w:r>
      <w:r>
        <w:rPr>
          <w:rFonts w:ascii="Times New Roman" w:eastAsia="Times New Roman" w:hAnsi="Times New Roman" w:cs="Times New Roman"/>
          <w:color w:val="000000"/>
          <w:sz w:val="24"/>
          <w:szCs w:val="24"/>
        </w:rPr>
        <w:t>s Jurídicos. Adjuntando copia de la documentación recibida por parte del MRREE.</w:t>
      </w:r>
    </w:p>
    <w:p w:rsidR="00E4530A" w:rsidRDefault="009C1D3D">
      <w:pPr>
        <w:spacing w:before="120" w:after="120" w:line="36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Asimismo, el día 22 de enero de 2020, el oficial de información del </w:t>
      </w:r>
      <w:r>
        <w:rPr>
          <w:rFonts w:ascii="Times New Roman" w:eastAsia="Times New Roman" w:hAnsi="Times New Roman" w:cs="Times New Roman"/>
          <w:b/>
          <w:color w:val="000000"/>
          <w:sz w:val="24"/>
          <w:szCs w:val="24"/>
        </w:rPr>
        <w:t xml:space="preserve">Ministerio de Relaciones Exteriores </w:t>
      </w:r>
      <w:r>
        <w:rPr>
          <w:rFonts w:ascii="Times New Roman" w:eastAsia="Times New Roman" w:hAnsi="Times New Roman" w:cs="Times New Roman"/>
          <w:color w:val="000000"/>
          <w:sz w:val="24"/>
          <w:szCs w:val="24"/>
        </w:rPr>
        <w:t xml:space="preserve">remitió el expediente administrativo relacionado al caso, en atención a </w:t>
      </w:r>
      <w:r>
        <w:rPr>
          <w:rFonts w:ascii="Times New Roman" w:eastAsia="Times New Roman" w:hAnsi="Times New Roman" w:cs="Times New Roman"/>
          <w:color w:val="000000"/>
          <w:sz w:val="24"/>
          <w:szCs w:val="24"/>
        </w:rPr>
        <w:t>lo dispuesto en el art. 82 inc. 2° de la Ley de Acceso a la Información Pública.</w:t>
      </w:r>
    </w:p>
    <w:p w:rsidR="00E4530A" w:rsidRDefault="009C1D3D">
      <w:pPr>
        <w:spacing w:before="120" w:after="120" w:line="36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Posteriormente, el día 29 de enero de 2020, </w:t>
      </w:r>
      <w:r>
        <w:rPr>
          <w:rFonts w:ascii="Times New Roman" w:eastAsia="Times New Roman" w:hAnsi="Times New Roman" w:cs="Times New Roman"/>
          <w:b/>
          <w:color w:val="000000"/>
          <w:sz w:val="24"/>
          <w:szCs w:val="24"/>
        </w:rPr>
        <w:t>Julia María Somoza de Batista,</w:t>
      </w:r>
      <w:r>
        <w:rPr>
          <w:rFonts w:ascii="Times New Roman" w:eastAsia="Times New Roman" w:hAnsi="Times New Roman" w:cs="Times New Roman"/>
          <w:color w:val="000000"/>
          <w:sz w:val="24"/>
          <w:szCs w:val="24"/>
        </w:rPr>
        <w:t xml:space="preserve">  vía correo electrónico envió su informe de defensa, –haciéndose constar que el día 30 de enero del </w:t>
      </w:r>
      <w:r>
        <w:rPr>
          <w:rFonts w:ascii="Times New Roman" w:eastAsia="Times New Roman" w:hAnsi="Times New Roman" w:cs="Times New Roman"/>
          <w:color w:val="000000"/>
          <w:sz w:val="24"/>
          <w:szCs w:val="24"/>
        </w:rPr>
        <w:t>mismo año se remitió dicho informe de manera presencial en las instalaciones de este Instituto–, de conformidad con lo establecido en el art. 88 de la LAIP, actuando en calidad personal, en el presente procedimiento administrativo sancionador por el presun</w:t>
      </w:r>
      <w:r>
        <w:rPr>
          <w:rFonts w:ascii="Times New Roman" w:eastAsia="Times New Roman" w:hAnsi="Times New Roman" w:cs="Times New Roman"/>
          <w:color w:val="000000"/>
          <w:sz w:val="24"/>
          <w:szCs w:val="24"/>
        </w:rPr>
        <w:t>to cometimiento de infracciones a la Ley de Acceso a la Información Pública.</w:t>
      </w:r>
    </w:p>
    <w:p w:rsidR="00E4530A" w:rsidRDefault="009C1D3D">
      <w:pPr>
        <w:numPr>
          <w:ilvl w:val="0"/>
          <w:numId w:val="2"/>
        </w:numPr>
        <w:spacing w:after="240" w:line="360" w:lineRule="auto"/>
        <w:jc w:val="both"/>
        <w:rPr>
          <w:rFonts w:ascii="Times New Roman" w:eastAsia="Times New Roman" w:hAnsi="Times New Roman" w:cs="Times New Roman"/>
          <w:b/>
          <w:i/>
          <w:color w:val="000000"/>
          <w:sz w:val="24"/>
          <w:szCs w:val="24"/>
        </w:rPr>
      </w:pPr>
      <w:r>
        <w:rPr>
          <w:rFonts w:ascii="Times New Roman" w:eastAsia="Times New Roman" w:hAnsi="Times New Roman" w:cs="Times New Roman"/>
          <w:b/>
          <w:i/>
          <w:color w:val="000000"/>
          <w:sz w:val="24"/>
          <w:szCs w:val="24"/>
        </w:rPr>
        <w:t>Análisis del desistimiento interpuesto por el denunciante.</w:t>
      </w:r>
    </w:p>
    <w:p w:rsidR="00E4530A" w:rsidRDefault="009C1D3D">
      <w:pPr>
        <w:spacing w:after="240" w:line="36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Visto el contenido de la documentación recibida en el presente caso, es pertinente hacer el análisis técnico jurídico de</w:t>
      </w:r>
      <w:r>
        <w:rPr>
          <w:rFonts w:ascii="Times New Roman" w:eastAsia="Times New Roman" w:hAnsi="Times New Roman" w:cs="Times New Roman"/>
          <w:color w:val="000000"/>
          <w:sz w:val="24"/>
          <w:szCs w:val="24"/>
        </w:rPr>
        <w:t xml:space="preserve"> la pertinencia de lo solicitado por Escalante Saracais  en el presente procedimiento administrativo sancionador, valorando su naturaleza, para lo cual se seguirá el siguiente íter lógico:</w:t>
      </w:r>
      <w:r>
        <w:rPr>
          <w:rFonts w:ascii="Times New Roman" w:eastAsia="Times New Roman" w:hAnsi="Times New Roman" w:cs="Times New Roman"/>
          <w:b/>
          <w:color w:val="000000"/>
          <w:sz w:val="24"/>
          <w:szCs w:val="24"/>
        </w:rPr>
        <w:t xml:space="preserve"> I)</w:t>
      </w:r>
      <w:r>
        <w:rPr>
          <w:rFonts w:ascii="Times New Roman" w:eastAsia="Times New Roman" w:hAnsi="Times New Roman" w:cs="Times New Roman"/>
          <w:color w:val="000000"/>
          <w:sz w:val="24"/>
          <w:szCs w:val="24"/>
        </w:rPr>
        <w:t xml:space="preserve"> Descripción de la naturaleza del proceso administrativo  sancion</w:t>
      </w:r>
      <w:r>
        <w:rPr>
          <w:rFonts w:ascii="Times New Roman" w:eastAsia="Times New Roman" w:hAnsi="Times New Roman" w:cs="Times New Roman"/>
          <w:color w:val="000000"/>
          <w:sz w:val="24"/>
          <w:szCs w:val="24"/>
        </w:rPr>
        <w:t xml:space="preserve">atorio en la LAIP; </w:t>
      </w:r>
      <w:r>
        <w:rPr>
          <w:rFonts w:ascii="Times New Roman" w:eastAsia="Times New Roman" w:hAnsi="Times New Roman" w:cs="Times New Roman"/>
          <w:b/>
          <w:color w:val="000000"/>
          <w:sz w:val="24"/>
          <w:szCs w:val="24"/>
        </w:rPr>
        <w:t>II)</w:t>
      </w:r>
      <w:r>
        <w:rPr>
          <w:rFonts w:ascii="Times New Roman" w:eastAsia="Times New Roman" w:hAnsi="Times New Roman" w:cs="Times New Roman"/>
          <w:color w:val="000000"/>
          <w:sz w:val="24"/>
          <w:szCs w:val="24"/>
        </w:rPr>
        <w:t xml:space="preserve"> Definición del desistimiento y su aplicación en la Ley de Procedimientos Administrativos;  </w:t>
      </w:r>
      <w:r>
        <w:rPr>
          <w:rFonts w:ascii="Times New Roman" w:eastAsia="Times New Roman" w:hAnsi="Times New Roman" w:cs="Times New Roman"/>
          <w:b/>
          <w:color w:val="000000"/>
          <w:sz w:val="24"/>
          <w:szCs w:val="24"/>
        </w:rPr>
        <w:t xml:space="preserve">III) </w:t>
      </w:r>
      <w:r>
        <w:rPr>
          <w:rFonts w:ascii="Times New Roman" w:eastAsia="Times New Roman" w:hAnsi="Times New Roman" w:cs="Times New Roman"/>
          <w:color w:val="000000"/>
          <w:sz w:val="24"/>
          <w:szCs w:val="24"/>
        </w:rPr>
        <w:t>Precedente retomado por este instituto respecto al desistimiento dentro la tramitación del procedimiento administrativo sancionatorio y l</w:t>
      </w:r>
      <w:r>
        <w:rPr>
          <w:rFonts w:ascii="Times New Roman" w:eastAsia="Times New Roman" w:hAnsi="Times New Roman" w:cs="Times New Roman"/>
          <w:color w:val="000000"/>
          <w:sz w:val="24"/>
          <w:szCs w:val="24"/>
        </w:rPr>
        <w:t xml:space="preserve">a posibilidad de cambio de criterio conforme a la Jurisprudencia Constitucional; </w:t>
      </w:r>
      <w:r>
        <w:rPr>
          <w:rFonts w:ascii="Times New Roman" w:eastAsia="Times New Roman" w:hAnsi="Times New Roman" w:cs="Times New Roman"/>
          <w:b/>
          <w:color w:val="000000"/>
          <w:sz w:val="24"/>
          <w:szCs w:val="24"/>
        </w:rPr>
        <w:t xml:space="preserve">IV) </w:t>
      </w:r>
      <w:r>
        <w:rPr>
          <w:rFonts w:ascii="Times New Roman" w:eastAsia="Times New Roman" w:hAnsi="Times New Roman" w:cs="Times New Roman"/>
          <w:color w:val="000000"/>
          <w:sz w:val="24"/>
          <w:szCs w:val="24"/>
        </w:rPr>
        <w:t>Análisis técnico de la modificación de criterio del trámite del desistimiento acorde a la LPA y su aplicación al caso en concreto, adecuándose a la naturaleza del IAIP. </w:t>
      </w:r>
    </w:p>
    <w:p w:rsidR="00E4530A" w:rsidRDefault="009C1D3D">
      <w:pPr>
        <w:spacing w:after="240" w:line="36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b/>
          <w:color w:val="000000"/>
          <w:sz w:val="24"/>
          <w:szCs w:val="24"/>
        </w:rPr>
        <w:t>I</w:t>
      </w:r>
      <w:r>
        <w:rPr>
          <w:rFonts w:ascii="Times New Roman" w:eastAsia="Times New Roman" w:hAnsi="Times New Roman" w:cs="Times New Roman"/>
          <w:b/>
          <w:color w:val="000000"/>
          <w:sz w:val="24"/>
          <w:szCs w:val="24"/>
        </w:rPr>
        <w:t>)</w:t>
      </w:r>
      <w:r>
        <w:rPr>
          <w:rFonts w:ascii="Times New Roman" w:eastAsia="Times New Roman" w:hAnsi="Times New Roman" w:cs="Times New Roman"/>
          <w:color w:val="000000"/>
          <w:sz w:val="24"/>
          <w:szCs w:val="24"/>
        </w:rPr>
        <w:t xml:space="preserve"> En principio, es imperante establecer conforme al principio de legalidad las competencias que tiene este Instituto otorgadas en la LAIP, a fin de establecer el marco de actuación bajo el cual se desarrollan sus funciones jurisdiccionales -siempre de natu</w:t>
      </w:r>
      <w:r>
        <w:rPr>
          <w:rFonts w:ascii="Times New Roman" w:eastAsia="Times New Roman" w:hAnsi="Times New Roman" w:cs="Times New Roman"/>
          <w:color w:val="000000"/>
          <w:sz w:val="24"/>
          <w:szCs w:val="24"/>
        </w:rPr>
        <w:t xml:space="preserve">raleza administrativa-. Es así, que se tiene competencia para tramitar tres diferentes procedimientos, </w:t>
      </w:r>
      <w:r>
        <w:rPr>
          <w:rFonts w:ascii="Times New Roman" w:eastAsia="Times New Roman" w:hAnsi="Times New Roman" w:cs="Times New Roman"/>
          <w:color w:val="000000"/>
          <w:sz w:val="24"/>
          <w:szCs w:val="24"/>
        </w:rPr>
        <w:lastRenderedPageBreak/>
        <w:t>los cuales son: el recurso de apelación, falta de respuesta y procedimiento administrativos sancionatorio (arts. 75, 82 y 89 de la LAIP), a los cuales se</w:t>
      </w:r>
      <w:r>
        <w:rPr>
          <w:rFonts w:ascii="Times New Roman" w:eastAsia="Times New Roman" w:hAnsi="Times New Roman" w:cs="Times New Roman"/>
          <w:color w:val="000000"/>
          <w:sz w:val="24"/>
          <w:szCs w:val="24"/>
        </w:rPr>
        <w:t xml:space="preserve"> les da trámite conforme a cada una de sus pretensiones. </w:t>
      </w:r>
    </w:p>
    <w:p w:rsidR="00E4530A" w:rsidRDefault="009C1D3D">
      <w:pPr>
        <w:spacing w:before="240" w:line="36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En particular, tenemos el procedimiento administrativo sancionatorio, el cual es el que se pretendía incoar inicialmente por el denunciante en este caso, y su tramitación deviene de la potestad sanc</w:t>
      </w:r>
      <w:r>
        <w:rPr>
          <w:rFonts w:ascii="Times New Roman" w:eastAsia="Times New Roman" w:hAnsi="Times New Roman" w:cs="Times New Roman"/>
          <w:color w:val="000000"/>
          <w:sz w:val="24"/>
          <w:szCs w:val="24"/>
        </w:rPr>
        <w:t xml:space="preserve">ionadora del Estado, conocida como </w:t>
      </w:r>
      <w:r>
        <w:rPr>
          <w:rFonts w:ascii="Times New Roman" w:eastAsia="Times New Roman" w:hAnsi="Times New Roman" w:cs="Times New Roman"/>
          <w:i/>
          <w:color w:val="000000"/>
          <w:sz w:val="24"/>
          <w:szCs w:val="24"/>
        </w:rPr>
        <w:t>ius puniendi</w:t>
      </w:r>
      <w:r>
        <w:rPr>
          <w:rFonts w:ascii="Times New Roman" w:eastAsia="Times New Roman" w:hAnsi="Times New Roman" w:cs="Times New Roman"/>
          <w:color w:val="000000"/>
          <w:sz w:val="24"/>
          <w:szCs w:val="24"/>
        </w:rPr>
        <w:t>, concebida como la capacidad estatal de ejercer un control social coercitivo sobre actos ilícitos. Esta potestad se despliega, por una parte, en la rama del Derecho Penal —potestad penal judicial― y, por otra</w:t>
      </w:r>
      <w:r>
        <w:rPr>
          <w:rFonts w:ascii="Times New Roman" w:eastAsia="Times New Roman" w:hAnsi="Times New Roman" w:cs="Times New Roman"/>
          <w:color w:val="000000"/>
          <w:sz w:val="24"/>
          <w:szCs w:val="24"/>
        </w:rPr>
        <w:t xml:space="preserve">, en la Administración Pública. Esta materialización del </w:t>
      </w:r>
      <w:r>
        <w:rPr>
          <w:rFonts w:ascii="Times New Roman" w:eastAsia="Times New Roman" w:hAnsi="Times New Roman" w:cs="Times New Roman"/>
          <w:i/>
          <w:color w:val="000000"/>
          <w:sz w:val="24"/>
          <w:szCs w:val="24"/>
        </w:rPr>
        <w:t>ius</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i/>
          <w:color w:val="000000"/>
          <w:sz w:val="24"/>
          <w:szCs w:val="24"/>
        </w:rPr>
        <w:t>puniendi</w:t>
      </w:r>
      <w:r>
        <w:rPr>
          <w:rFonts w:ascii="Times New Roman" w:eastAsia="Times New Roman" w:hAnsi="Times New Roman" w:cs="Times New Roman"/>
          <w:color w:val="000000"/>
          <w:sz w:val="24"/>
          <w:szCs w:val="24"/>
        </w:rPr>
        <w:t xml:space="preserve"> en el campo administrativo se denomina </w:t>
      </w:r>
      <w:r>
        <w:rPr>
          <w:rFonts w:ascii="Times New Roman" w:eastAsia="Times New Roman" w:hAnsi="Times New Roman" w:cs="Times New Roman"/>
          <w:b/>
          <w:color w:val="000000"/>
          <w:sz w:val="24"/>
          <w:szCs w:val="24"/>
        </w:rPr>
        <w:t>potestad sancionadora de la Administración.</w:t>
      </w:r>
    </w:p>
    <w:p w:rsidR="00E4530A" w:rsidRDefault="009C1D3D">
      <w:pPr>
        <w:spacing w:before="240" w:line="36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La principal justificación de la potestad sancionadora ejercida por entes administrativos atiende a razones pragmáticas, pues es necesaria para el cumplimiento de la finalidad última de la administración: “</w:t>
      </w:r>
      <w:r>
        <w:rPr>
          <w:rFonts w:ascii="Times New Roman" w:eastAsia="Times New Roman" w:hAnsi="Times New Roman" w:cs="Times New Roman"/>
          <w:i/>
          <w:color w:val="000000"/>
          <w:sz w:val="24"/>
          <w:szCs w:val="24"/>
        </w:rPr>
        <w:t>garantizar el mantenimiento del propio orden juríd</w:t>
      </w:r>
      <w:r>
        <w:rPr>
          <w:rFonts w:ascii="Times New Roman" w:eastAsia="Times New Roman" w:hAnsi="Times New Roman" w:cs="Times New Roman"/>
          <w:i/>
          <w:color w:val="000000"/>
          <w:sz w:val="24"/>
          <w:szCs w:val="24"/>
        </w:rPr>
        <w:t>ico, el de la sociedad en conjunto y el de la misma administración mediante la represión de todas aquellas conductas contrarias al mismo</w:t>
      </w:r>
      <w:r>
        <w:rPr>
          <w:rFonts w:ascii="Times New Roman" w:eastAsia="Times New Roman" w:hAnsi="Times New Roman" w:cs="Times New Roman"/>
          <w:color w:val="000000"/>
          <w:sz w:val="24"/>
          <w:szCs w:val="24"/>
        </w:rPr>
        <w:t>”. (Sala de lo Contencioso Administrativo, en el expediente con referencia 149-M-99 de fecha 19 de diciembre del año 2000).</w:t>
      </w:r>
    </w:p>
    <w:p w:rsidR="00E4530A" w:rsidRDefault="009C1D3D">
      <w:pPr>
        <w:spacing w:before="240" w:line="36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En tal sentido, </w:t>
      </w:r>
      <w:r>
        <w:rPr>
          <w:rFonts w:ascii="Times New Roman" w:eastAsia="Times New Roman" w:hAnsi="Times New Roman" w:cs="Times New Roman"/>
          <w:b/>
          <w:color w:val="000000"/>
          <w:sz w:val="24"/>
          <w:szCs w:val="24"/>
        </w:rPr>
        <w:t xml:space="preserve">la potestad sancionatoria de este Instituto está limitada a las infracciones que se cometan a la LAIP, </w:t>
      </w:r>
      <w:r>
        <w:rPr>
          <w:rFonts w:ascii="Times New Roman" w:eastAsia="Times New Roman" w:hAnsi="Times New Roman" w:cs="Times New Roman"/>
          <w:color w:val="000000"/>
          <w:sz w:val="24"/>
          <w:szCs w:val="24"/>
        </w:rPr>
        <w:t>ello con la f</w:t>
      </w:r>
      <w:r>
        <w:rPr>
          <w:rFonts w:ascii="Times New Roman" w:eastAsia="Times New Roman" w:hAnsi="Times New Roman" w:cs="Times New Roman"/>
          <w:color w:val="000000"/>
          <w:sz w:val="24"/>
          <w:szCs w:val="24"/>
        </w:rPr>
        <w:t>inalidad de corregir o sancionar conductas al margen de su correcto cumplimiento, entendiéndose que se ha provocado una lesión o daño al Derecho de Acceso a la Información Pública (DAIP), el cual es un derecho fundamental de los administrados. Como princip</w:t>
      </w:r>
      <w:r>
        <w:rPr>
          <w:rFonts w:ascii="Times New Roman" w:eastAsia="Times New Roman" w:hAnsi="Times New Roman" w:cs="Times New Roman"/>
          <w:color w:val="000000"/>
          <w:sz w:val="24"/>
          <w:szCs w:val="24"/>
        </w:rPr>
        <w:t>io rector de este procedimiento, es importante reiterar que tales conductas punibles deben estar debidamente tipificados en la LAIP como infracciones plausibles acreedoras de una sanción de carácter pecuniario.</w:t>
      </w:r>
    </w:p>
    <w:p w:rsidR="00E4530A" w:rsidRDefault="009C1D3D">
      <w:pPr>
        <w:spacing w:before="240" w:line="36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Es así que el artículo 76 de la LAIP prevé lo</w:t>
      </w:r>
      <w:r>
        <w:rPr>
          <w:rFonts w:ascii="Times New Roman" w:eastAsia="Times New Roman" w:hAnsi="Times New Roman" w:cs="Times New Roman"/>
          <w:color w:val="000000"/>
          <w:sz w:val="24"/>
          <w:szCs w:val="24"/>
        </w:rPr>
        <w:t>s tipos de infracciones que podrían ser cometidas por los servidores públicos al quebrantar disposiciones relativas al DAIP en el ejercicio de sus funciones. La calificación de la infracción puede ser leve, grave o muy grave; lo cual, ha sido determinada p</w:t>
      </w:r>
      <w:r>
        <w:rPr>
          <w:rFonts w:ascii="Times New Roman" w:eastAsia="Times New Roman" w:hAnsi="Times New Roman" w:cs="Times New Roman"/>
          <w:color w:val="000000"/>
          <w:sz w:val="24"/>
          <w:szCs w:val="24"/>
        </w:rPr>
        <w:t>or el legislador de conformidad con el nivel del daño provocado como consecuencia de la conducta tipificada en la disposición legal.</w:t>
      </w:r>
    </w:p>
    <w:p w:rsidR="00E4530A" w:rsidRDefault="009C1D3D">
      <w:pPr>
        <w:spacing w:before="240" w:line="36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lastRenderedPageBreak/>
        <w:t>Otro elemento a tomar en cuenta es que el</w:t>
      </w:r>
      <w:r>
        <w:rPr>
          <w:rFonts w:ascii="Times New Roman" w:eastAsia="Times New Roman" w:hAnsi="Times New Roman" w:cs="Times New Roman"/>
          <w:b/>
          <w:color w:val="000000"/>
          <w:sz w:val="24"/>
          <w:szCs w:val="24"/>
        </w:rPr>
        <w:t xml:space="preserve"> </w:t>
      </w:r>
      <w:r>
        <w:rPr>
          <w:rFonts w:ascii="Times New Roman" w:eastAsia="Times New Roman" w:hAnsi="Times New Roman" w:cs="Times New Roman"/>
          <w:color w:val="000000"/>
          <w:sz w:val="24"/>
          <w:szCs w:val="24"/>
        </w:rPr>
        <w:t>procedimiento administrativo sancionador no debe ser la primera opción para garan</w:t>
      </w:r>
      <w:r>
        <w:rPr>
          <w:rFonts w:ascii="Times New Roman" w:eastAsia="Times New Roman" w:hAnsi="Times New Roman" w:cs="Times New Roman"/>
          <w:color w:val="000000"/>
          <w:sz w:val="24"/>
          <w:szCs w:val="24"/>
        </w:rPr>
        <w:t xml:space="preserve">tizar el derecho de acceso a la información pública, al ser su aplicación de </w:t>
      </w:r>
      <w:r>
        <w:rPr>
          <w:rFonts w:ascii="Times New Roman" w:eastAsia="Times New Roman" w:hAnsi="Times New Roman" w:cs="Times New Roman"/>
          <w:i/>
          <w:color w:val="000000"/>
          <w:sz w:val="24"/>
          <w:szCs w:val="24"/>
        </w:rPr>
        <w:t>última ratio</w:t>
      </w:r>
      <w:r>
        <w:rPr>
          <w:rFonts w:ascii="Times New Roman" w:eastAsia="Times New Roman" w:hAnsi="Times New Roman" w:cs="Times New Roman"/>
          <w:color w:val="000000"/>
          <w:sz w:val="24"/>
          <w:szCs w:val="24"/>
        </w:rPr>
        <w:t>, -principio desarrollado en materia penal de aplicación supletoria y matizada al procedimiento administrativo sancionador</w:t>
      </w:r>
      <w:r>
        <w:rPr>
          <w:rFonts w:ascii="Times New Roman" w:eastAsia="Times New Roman" w:hAnsi="Times New Roman" w:cs="Times New Roman"/>
          <w:i/>
          <w:color w:val="000000"/>
          <w:sz w:val="24"/>
          <w:szCs w:val="24"/>
        </w:rPr>
        <w:t xml:space="preserve">-, </w:t>
      </w:r>
      <w:r>
        <w:rPr>
          <w:rFonts w:ascii="Times New Roman" w:eastAsia="Times New Roman" w:hAnsi="Times New Roman" w:cs="Times New Roman"/>
          <w:color w:val="000000"/>
          <w:sz w:val="24"/>
          <w:szCs w:val="24"/>
        </w:rPr>
        <w:t>el cual</w:t>
      </w:r>
      <w:r>
        <w:rPr>
          <w:rFonts w:ascii="Times New Roman" w:eastAsia="Times New Roman" w:hAnsi="Times New Roman" w:cs="Times New Roman"/>
          <w:i/>
          <w:color w:val="000000"/>
          <w:sz w:val="24"/>
          <w:szCs w:val="24"/>
        </w:rPr>
        <w:t xml:space="preserve"> </w:t>
      </w:r>
      <w:r>
        <w:rPr>
          <w:rFonts w:ascii="Times New Roman" w:eastAsia="Times New Roman" w:hAnsi="Times New Roman" w:cs="Times New Roman"/>
          <w:b/>
          <w:color w:val="000000"/>
          <w:sz w:val="24"/>
          <w:szCs w:val="24"/>
        </w:rPr>
        <w:t>busca tener por establecido el pri</w:t>
      </w:r>
      <w:r>
        <w:rPr>
          <w:rFonts w:ascii="Times New Roman" w:eastAsia="Times New Roman" w:hAnsi="Times New Roman" w:cs="Times New Roman"/>
          <w:b/>
          <w:color w:val="000000"/>
          <w:sz w:val="24"/>
          <w:szCs w:val="24"/>
        </w:rPr>
        <w:t>ncipio de necesidad en la intervención del Estado, es decir, que no exista otra vía –menos gravosa– para garantizar determinados bienes jurídicos</w:t>
      </w:r>
      <w:r>
        <w:rPr>
          <w:rFonts w:ascii="Times New Roman" w:eastAsia="Times New Roman" w:hAnsi="Times New Roman" w:cs="Times New Roman"/>
          <w:color w:val="000000"/>
          <w:sz w:val="24"/>
          <w:szCs w:val="24"/>
        </w:rPr>
        <w:t>.</w:t>
      </w:r>
    </w:p>
    <w:p w:rsidR="00E4530A" w:rsidRDefault="009C1D3D">
      <w:pPr>
        <w:spacing w:after="240" w:line="36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Al respecto, la Sala de lo Contencioso Administrativo ha establecido que: “</w:t>
      </w:r>
      <w:r>
        <w:rPr>
          <w:rFonts w:ascii="Times New Roman" w:eastAsia="Times New Roman" w:hAnsi="Times New Roman" w:cs="Times New Roman"/>
          <w:i/>
          <w:color w:val="000000"/>
          <w:sz w:val="24"/>
          <w:szCs w:val="24"/>
        </w:rPr>
        <w:t>Resulta pues, que la potestad sanc</w:t>
      </w:r>
      <w:r>
        <w:rPr>
          <w:rFonts w:ascii="Times New Roman" w:eastAsia="Times New Roman" w:hAnsi="Times New Roman" w:cs="Times New Roman"/>
          <w:i/>
          <w:color w:val="000000"/>
          <w:sz w:val="24"/>
          <w:szCs w:val="24"/>
        </w:rPr>
        <w:t xml:space="preserve">ionadora de la Administración se enmarca en principios correspondientes a los que rigen en materia penal, pero con las particularidades o matices propios de la actividad realizada por la Administración. Sabido es que existen distinciones importantes entre </w:t>
      </w:r>
      <w:r>
        <w:rPr>
          <w:rFonts w:ascii="Times New Roman" w:eastAsia="Times New Roman" w:hAnsi="Times New Roman" w:cs="Times New Roman"/>
          <w:i/>
          <w:color w:val="000000"/>
          <w:sz w:val="24"/>
          <w:szCs w:val="24"/>
        </w:rPr>
        <w:t xml:space="preserve">la actividad penal y la actividad administrativa, en razón de las distintas funciones que cumplen en un Estado de Derecho, </w:t>
      </w:r>
      <w:r>
        <w:rPr>
          <w:rFonts w:ascii="Times New Roman" w:eastAsia="Times New Roman" w:hAnsi="Times New Roman" w:cs="Times New Roman"/>
          <w:b/>
          <w:i/>
          <w:color w:val="000000"/>
          <w:sz w:val="24"/>
          <w:szCs w:val="24"/>
        </w:rPr>
        <w:t>aunque ello no debe inhibir a la Administración de la aplicación de los principios rectores del ius puniendi al ámbito administrativo</w:t>
      </w:r>
      <w:r>
        <w:rPr>
          <w:rFonts w:ascii="Times New Roman" w:eastAsia="Times New Roman" w:hAnsi="Times New Roman" w:cs="Times New Roman"/>
          <w:b/>
          <w:i/>
          <w:color w:val="000000"/>
          <w:sz w:val="24"/>
          <w:szCs w:val="24"/>
        </w:rPr>
        <w:t xml:space="preserve"> sancionador, pues estos tienen origen —primordialmente— en la Carta Magna</w:t>
      </w:r>
      <w:r>
        <w:rPr>
          <w:rFonts w:ascii="Times New Roman" w:eastAsia="Times New Roman" w:hAnsi="Times New Roman" w:cs="Times New Roman"/>
          <w:i/>
          <w:color w:val="000000"/>
          <w:sz w:val="24"/>
          <w:szCs w:val="24"/>
        </w:rPr>
        <w:t xml:space="preserve">. Se afirma sin ambages, que </w:t>
      </w:r>
      <w:r>
        <w:rPr>
          <w:rFonts w:ascii="Times New Roman" w:eastAsia="Times New Roman" w:hAnsi="Times New Roman" w:cs="Times New Roman"/>
          <w:b/>
          <w:i/>
          <w:color w:val="000000"/>
          <w:sz w:val="24"/>
          <w:szCs w:val="24"/>
        </w:rPr>
        <w:t>en el ordenamiento administrativo sancionador salvadoreño resultan aplicables los principios que rigen en materia penal encauzando la actuación sancionad</w:t>
      </w:r>
      <w:r>
        <w:rPr>
          <w:rFonts w:ascii="Times New Roman" w:eastAsia="Times New Roman" w:hAnsi="Times New Roman" w:cs="Times New Roman"/>
          <w:b/>
          <w:i/>
          <w:color w:val="000000"/>
          <w:sz w:val="24"/>
          <w:szCs w:val="24"/>
        </w:rPr>
        <w:t>ora en beneficio del cumplimiento de los fines del Estado y en garantía de los derechos de los administrados</w:t>
      </w:r>
      <w:r>
        <w:rPr>
          <w:rFonts w:ascii="Times New Roman" w:eastAsia="Times New Roman" w:hAnsi="Times New Roman" w:cs="Times New Roman"/>
          <w:i/>
          <w:color w:val="000000"/>
          <w:sz w:val="24"/>
          <w:szCs w:val="24"/>
        </w:rPr>
        <w:t>”</w:t>
      </w:r>
      <w:r>
        <w:rPr>
          <w:rFonts w:ascii="Times New Roman" w:eastAsia="Times New Roman" w:hAnsi="Times New Roman" w:cs="Times New Roman"/>
          <w:color w:val="000000"/>
          <w:sz w:val="24"/>
          <w:szCs w:val="24"/>
        </w:rPr>
        <w:t>.[itálica y negritas suplidas] (Sentencia emitida por la Sala  de lo Contencioso Administrativo de la Corte Suprema de Justicia, dentro del expedie</w:t>
      </w:r>
      <w:r>
        <w:rPr>
          <w:rFonts w:ascii="Times New Roman" w:eastAsia="Times New Roman" w:hAnsi="Times New Roman" w:cs="Times New Roman"/>
          <w:color w:val="000000"/>
          <w:sz w:val="24"/>
          <w:szCs w:val="24"/>
        </w:rPr>
        <w:t>nte con referencia 11-2010, proveída a las ocho horas y cincuenta y cuatro minutos del trece de febrero de dos mil catorce.).</w:t>
      </w:r>
    </w:p>
    <w:p w:rsidR="00E4530A" w:rsidRDefault="009C1D3D">
      <w:pPr>
        <w:spacing w:before="240" w:line="36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b/>
          <w:color w:val="000000"/>
          <w:sz w:val="24"/>
          <w:szCs w:val="24"/>
        </w:rPr>
        <w:t>II)</w:t>
      </w:r>
      <w:r>
        <w:rPr>
          <w:rFonts w:ascii="Times New Roman" w:eastAsia="Times New Roman" w:hAnsi="Times New Roman" w:cs="Times New Roman"/>
          <w:color w:val="000000"/>
          <w:sz w:val="24"/>
          <w:szCs w:val="24"/>
        </w:rPr>
        <w:t xml:space="preserve"> Ahora bien, corresponde hacer algunas acotaciones respecto a la figura del desistimiento del procedimiento administrativo, sie</w:t>
      </w:r>
      <w:r>
        <w:rPr>
          <w:rFonts w:ascii="Times New Roman" w:eastAsia="Times New Roman" w:hAnsi="Times New Roman" w:cs="Times New Roman"/>
          <w:color w:val="000000"/>
          <w:sz w:val="24"/>
          <w:szCs w:val="24"/>
        </w:rPr>
        <w:t>ndo el mismo una forma anticipada de poner fin a tal procedimiento, y se encuentra previsto en el artículo 115 de la Ley de Procedimientos Administrativos (LPA). A partir de dicha regulación la administración pública se encuentra expresamente habilitada pa</w:t>
      </w:r>
      <w:r>
        <w:rPr>
          <w:rFonts w:ascii="Times New Roman" w:eastAsia="Times New Roman" w:hAnsi="Times New Roman" w:cs="Times New Roman"/>
          <w:color w:val="000000"/>
          <w:sz w:val="24"/>
          <w:szCs w:val="24"/>
        </w:rPr>
        <w:t xml:space="preserve">ra concluir el mismo de tal forma, teniendo en cuenta que la adopción de esta decisión será válida únicamente si concurren los siguientes aspectos: </w:t>
      </w:r>
      <w:r>
        <w:rPr>
          <w:rFonts w:ascii="Times New Roman" w:eastAsia="Times New Roman" w:hAnsi="Times New Roman" w:cs="Times New Roman"/>
          <w:b/>
          <w:color w:val="000000"/>
          <w:sz w:val="24"/>
          <w:szCs w:val="24"/>
        </w:rPr>
        <w:t>a)</w:t>
      </w:r>
      <w:r>
        <w:rPr>
          <w:rFonts w:ascii="Times New Roman" w:eastAsia="Times New Roman" w:hAnsi="Times New Roman" w:cs="Times New Roman"/>
          <w:color w:val="000000"/>
          <w:sz w:val="24"/>
          <w:szCs w:val="24"/>
        </w:rPr>
        <w:t xml:space="preserve"> que el mismo no esté prohibido por el ordenamiento jurídico y </w:t>
      </w:r>
      <w:r>
        <w:rPr>
          <w:rFonts w:ascii="Times New Roman" w:eastAsia="Times New Roman" w:hAnsi="Times New Roman" w:cs="Times New Roman"/>
          <w:b/>
          <w:color w:val="000000"/>
          <w:sz w:val="24"/>
          <w:szCs w:val="24"/>
        </w:rPr>
        <w:t xml:space="preserve">b) </w:t>
      </w:r>
      <w:r>
        <w:rPr>
          <w:rFonts w:ascii="Times New Roman" w:eastAsia="Times New Roman" w:hAnsi="Times New Roman" w:cs="Times New Roman"/>
          <w:color w:val="000000"/>
          <w:sz w:val="24"/>
          <w:szCs w:val="24"/>
        </w:rPr>
        <w:t>que proceder a finalizar de tal forma el</w:t>
      </w:r>
      <w:r>
        <w:rPr>
          <w:rFonts w:ascii="Times New Roman" w:eastAsia="Times New Roman" w:hAnsi="Times New Roman" w:cs="Times New Roman"/>
          <w:color w:val="000000"/>
          <w:sz w:val="24"/>
          <w:szCs w:val="24"/>
        </w:rPr>
        <w:t xml:space="preserve"> procedimiento no suponga una afectación a intereses generales o de terceros.</w:t>
      </w:r>
    </w:p>
    <w:p w:rsidR="00E4530A" w:rsidRDefault="009C1D3D">
      <w:pPr>
        <w:spacing w:before="240" w:after="120" w:line="36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lastRenderedPageBreak/>
        <w:t>Al respecto es importante traer a colación que la citada disposición habilita tanto a los interesados, como a la Administración Pública para echar mano de tal figura y terminar l</w:t>
      </w:r>
      <w:r>
        <w:rPr>
          <w:rFonts w:ascii="Times New Roman" w:eastAsia="Times New Roman" w:hAnsi="Times New Roman" w:cs="Times New Roman"/>
          <w:color w:val="000000"/>
          <w:sz w:val="24"/>
          <w:szCs w:val="24"/>
        </w:rPr>
        <w:t xml:space="preserve">os procedimientos administrativos a través del desistimiento. Es de tener en cuenta que el art. 115 de la LPA en su tenor indica que “(…) </w:t>
      </w:r>
      <w:r>
        <w:rPr>
          <w:rFonts w:ascii="Times New Roman" w:eastAsia="Times New Roman" w:hAnsi="Times New Roman" w:cs="Times New Roman"/>
          <w:i/>
          <w:color w:val="000000"/>
          <w:sz w:val="24"/>
          <w:szCs w:val="24"/>
        </w:rPr>
        <w:t>En los procedimientos iniciados de oficio, la Administración podrá desistir motivadamente (…)”</w:t>
      </w:r>
      <w:r>
        <w:rPr>
          <w:rFonts w:ascii="Times New Roman" w:eastAsia="Times New Roman" w:hAnsi="Times New Roman" w:cs="Times New Roman"/>
          <w:color w:val="000000"/>
          <w:sz w:val="24"/>
          <w:szCs w:val="24"/>
        </w:rPr>
        <w:t>, y hay que tener en cue</w:t>
      </w:r>
      <w:r>
        <w:rPr>
          <w:rFonts w:ascii="Times New Roman" w:eastAsia="Times New Roman" w:hAnsi="Times New Roman" w:cs="Times New Roman"/>
          <w:color w:val="000000"/>
          <w:sz w:val="24"/>
          <w:szCs w:val="24"/>
        </w:rPr>
        <w:t>nta que los procedimientos que por naturaleza son oficiosos, son los sancionadores, de ello se colige que la figura en comento está disponible sin distinción del tipo de procedimiento del que se trate de acuerdo a nuestra regulación. En síntesis, el desist</w:t>
      </w:r>
      <w:r>
        <w:rPr>
          <w:rFonts w:ascii="Times New Roman" w:eastAsia="Times New Roman" w:hAnsi="Times New Roman" w:cs="Times New Roman"/>
          <w:color w:val="000000"/>
          <w:sz w:val="24"/>
          <w:szCs w:val="24"/>
        </w:rPr>
        <w:t>imiento de la iniciativa es un mecanismo habilitado tanto para los interesados como para la propia Administración Pública.</w:t>
      </w:r>
    </w:p>
    <w:p w:rsidR="00E4530A" w:rsidRDefault="009C1D3D">
      <w:pPr>
        <w:spacing w:before="240" w:after="120" w:line="36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A pesar de que en reiterada jurisprudencia la Sala de lo Contencioso Administrativo -SCA- ha rechazado la  disponibilidad de los proc</w:t>
      </w:r>
      <w:r>
        <w:rPr>
          <w:rFonts w:ascii="Times New Roman" w:eastAsia="Times New Roman" w:hAnsi="Times New Roman" w:cs="Times New Roman"/>
          <w:color w:val="000000"/>
          <w:sz w:val="24"/>
          <w:szCs w:val="24"/>
        </w:rPr>
        <w:t>edimientos administrativos sancionadores respecto a las partes que le inician, se debe de esclarecer que la reciente legislación -LPA-,  ha venido a fijar las reglas del juego en la dualidad Administración Pública - ciudadano;  la cual, es resultado de una</w:t>
      </w:r>
      <w:r>
        <w:rPr>
          <w:rFonts w:ascii="Times New Roman" w:eastAsia="Times New Roman" w:hAnsi="Times New Roman" w:cs="Times New Roman"/>
          <w:color w:val="000000"/>
          <w:sz w:val="24"/>
          <w:szCs w:val="24"/>
        </w:rPr>
        <w:t xml:space="preserve"> configuración normativa influenciada en parte por la jurisprudencia nacional y por otra parte por la legislación española, y que la figura en comento es producto de una traslación casi exacta del artículo 93 de la ley 39/2015. Por ello no debe de entender</w:t>
      </w:r>
      <w:r>
        <w:rPr>
          <w:rFonts w:ascii="Times New Roman" w:eastAsia="Times New Roman" w:hAnsi="Times New Roman" w:cs="Times New Roman"/>
          <w:color w:val="000000"/>
          <w:sz w:val="24"/>
          <w:szCs w:val="24"/>
        </w:rPr>
        <w:t>se que hay incongruencias en la regulación, simplemente desde la entrada en vigencia de la citada ley a la fecha, existen reglas claras al respecto, influenciadas por diferentes corrientes, en consecuencia, no siempre se va a replicar lo dispuesto por la S</w:t>
      </w:r>
      <w:r>
        <w:rPr>
          <w:rFonts w:ascii="Times New Roman" w:eastAsia="Times New Roman" w:hAnsi="Times New Roman" w:cs="Times New Roman"/>
          <w:color w:val="000000"/>
          <w:sz w:val="24"/>
          <w:szCs w:val="24"/>
        </w:rPr>
        <w:t>ala de lo Contencioso Administrativo. </w:t>
      </w:r>
    </w:p>
    <w:p w:rsidR="00E4530A" w:rsidRDefault="009C1D3D">
      <w:pPr>
        <w:spacing w:before="240" w:after="120" w:line="36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b/>
          <w:color w:val="000000"/>
          <w:sz w:val="24"/>
          <w:szCs w:val="24"/>
        </w:rPr>
        <w:t xml:space="preserve">III) </w:t>
      </w:r>
      <w:r>
        <w:rPr>
          <w:rFonts w:ascii="Times New Roman" w:eastAsia="Times New Roman" w:hAnsi="Times New Roman" w:cs="Times New Roman"/>
          <w:color w:val="000000"/>
          <w:sz w:val="24"/>
          <w:szCs w:val="24"/>
        </w:rPr>
        <w:t>En tal sentido, ha sido el criterio del Instituto que existiendo habilitación para tramitar procedimientos administrativos sancionatorios tanto a petición de parte como de oficio, -según lo establecido en el art.</w:t>
      </w:r>
      <w:r>
        <w:rPr>
          <w:rFonts w:ascii="Times New Roman" w:eastAsia="Times New Roman" w:hAnsi="Times New Roman" w:cs="Times New Roman"/>
          <w:color w:val="000000"/>
          <w:sz w:val="24"/>
          <w:szCs w:val="24"/>
        </w:rPr>
        <w:t xml:space="preserve"> 89 de la LAIP-, la tramitación o el impulso de dicho procedimiento no está bajo la disponibilidad del denunciante, es decir, un desistimiento no impedía su continuación hasta su finalización, siempre y cuando, existieran indicios razonables para ello. </w:t>
      </w:r>
    </w:p>
    <w:p w:rsidR="00E4530A" w:rsidRDefault="009C1D3D">
      <w:pPr>
        <w:spacing w:before="240" w:line="36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Lo</w:t>
      </w:r>
      <w:r>
        <w:rPr>
          <w:rFonts w:ascii="Times New Roman" w:eastAsia="Times New Roman" w:hAnsi="Times New Roman" w:cs="Times New Roman"/>
          <w:color w:val="000000"/>
          <w:sz w:val="24"/>
          <w:szCs w:val="24"/>
        </w:rPr>
        <w:t xml:space="preserve"> cual, como se ha establecido previamente, ha sido respaldado por la jurisprudencia de la Sala de lo Contencioso Administrativo, en particular lo establecido en la sentencia emitida el catorce de noviembre de dos mil doce, dentro del expediente número 153-</w:t>
      </w:r>
      <w:r>
        <w:rPr>
          <w:rFonts w:ascii="Times New Roman" w:eastAsia="Times New Roman" w:hAnsi="Times New Roman" w:cs="Times New Roman"/>
          <w:color w:val="000000"/>
          <w:sz w:val="24"/>
          <w:szCs w:val="24"/>
        </w:rPr>
        <w:t>2008, señalando que “…</w:t>
      </w:r>
      <w:r>
        <w:rPr>
          <w:rFonts w:ascii="Times New Roman" w:eastAsia="Times New Roman" w:hAnsi="Times New Roman" w:cs="Times New Roman"/>
          <w:b/>
          <w:i/>
          <w:color w:val="000000"/>
          <w:sz w:val="24"/>
          <w:szCs w:val="24"/>
        </w:rPr>
        <w:t xml:space="preserve">una vez iniciado el procedimiento sancionador, su continuación o </w:t>
      </w:r>
      <w:r>
        <w:rPr>
          <w:rFonts w:ascii="Times New Roman" w:eastAsia="Times New Roman" w:hAnsi="Times New Roman" w:cs="Times New Roman"/>
          <w:b/>
          <w:i/>
          <w:color w:val="000000"/>
          <w:sz w:val="24"/>
          <w:szCs w:val="24"/>
        </w:rPr>
        <w:lastRenderedPageBreak/>
        <w:t>finalización no dependa de la voluntad de un interesado</w:t>
      </w:r>
      <w:r>
        <w:rPr>
          <w:rFonts w:ascii="Times New Roman" w:eastAsia="Times New Roman" w:hAnsi="Times New Roman" w:cs="Times New Roman"/>
          <w:i/>
          <w:color w:val="000000"/>
          <w:sz w:val="24"/>
          <w:szCs w:val="24"/>
        </w:rPr>
        <w:t>... Cuando analizamos los alcances de la intervención de un denunciante en el procedimiento sancionador, se encuen</w:t>
      </w:r>
      <w:r>
        <w:rPr>
          <w:rFonts w:ascii="Times New Roman" w:eastAsia="Times New Roman" w:hAnsi="Times New Roman" w:cs="Times New Roman"/>
          <w:i/>
          <w:color w:val="000000"/>
          <w:sz w:val="24"/>
          <w:szCs w:val="24"/>
        </w:rPr>
        <w:t>tra la posibilidad que el ciudadano no se apersone a sede administrativa, confirmándose de ello que su rol en el trámite no es esencial sino que le corresponde a la Administración sancionadora la investigación del caso y su resolución definitiva, siempre c</w:t>
      </w:r>
      <w:r>
        <w:rPr>
          <w:rFonts w:ascii="Times New Roman" w:eastAsia="Times New Roman" w:hAnsi="Times New Roman" w:cs="Times New Roman"/>
          <w:i/>
          <w:color w:val="000000"/>
          <w:sz w:val="24"/>
          <w:szCs w:val="24"/>
        </w:rPr>
        <w:t>onforme a derecho. [...]</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i/>
          <w:color w:val="000000"/>
          <w:sz w:val="24"/>
          <w:szCs w:val="24"/>
        </w:rPr>
        <w:t>Siguiendo ese orden de ideas, esta Sala comparte la tesis que el desistimiento de una denuncia no vincula a la autoridad que detenta la potestad sancionadora, tal como lo señaló la parte demanda en sus informes. De ahí que, a la ép</w:t>
      </w:r>
      <w:r>
        <w:rPr>
          <w:rFonts w:ascii="Times New Roman" w:eastAsia="Times New Roman" w:hAnsi="Times New Roman" w:cs="Times New Roman"/>
          <w:i/>
          <w:color w:val="000000"/>
          <w:sz w:val="24"/>
          <w:szCs w:val="24"/>
        </w:rPr>
        <w:t>oca de presentación del desistimiento referido, el Tribunal Sancionador de la Defensoría del Consumidor ya había iniciado la práctica de su potestad sancionadora y no podía abstraerse de su competencia, es decir, desconocer su labor de investigar y pronunc</w:t>
      </w:r>
      <w:r>
        <w:rPr>
          <w:rFonts w:ascii="Times New Roman" w:eastAsia="Times New Roman" w:hAnsi="Times New Roman" w:cs="Times New Roman"/>
          <w:i/>
          <w:color w:val="000000"/>
          <w:sz w:val="24"/>
          <w:szCs w:val="24"/>
        </w:rPr>
        <w:t>iarse sobre los hechos imputados”. </w:t>
      </w:r>
    </w:p>
    <w:p w:rsidR="00E4530A" w:rsidRDefault="009C1D3D">
      <w:pPr>
        <w:spacing w:before="120" w:after="120" w:line="360" w:lineRule="auto"/>
        <w:jc w:val="both"/>
        <w:rPr>
          <w:rFonts w:ascii="Times New Roman" w:eastAsia="Times New Roman" w:hAnsi="Times New Roman" w:cs="Times New Roman"/>
          <w:sz w:val="24"/>
          <w:szCs w:val="24"/>
        </w:rPr>
      </w:pPr>
      <w:r>
        <w:rPr>
          <w:rFonts w:ascii="Times New Roman" w:eastAsia="Times New Roman" w:hAnsi="Times New Roman" w:cs="Times New Roman"/>
          <w:i/>
          <w:color w:val="000000"/>
          <w:sz w:val="24"/>
          <w:szCs w:val="24"/>
        </w:rPr>
        <w:tab/>
      </w:r>
      <w:r>
        <w:rPr>
          <w:rFonts w:ascii="Times New Roman" w:eastAsia="Times New Roman" w:hAnsi="Times New Roman" w:cs="Times New Roman"/>
          <w:color w:val="000000"/>
          <w:sz w:val="24"/>
          <w:szCs w:val="24"/>
        </w:rPr>
        <w:t>De tal antecedente jurisprudencial, se pueden destacar dos puntos, por una parte, que el mismo es anterior a la entrada en vigencia de la Ley de Procedimientos Administrativos; y dos, que el desistimiento, si bien no vi</w:t>
      </w:r>
      <w:r>
        <w:rPr>
          <w:rFonts w:ascii="Times New Roman" w:eastAsia="Times New Roman" w:hAnsi="Times New Roman" w:cs="Times New Roman"/>
          <w:color w:val="000000"/>
          <w:sz w:val="24"/>
          <w:szCs w:val="24"/>
        </w:rPr>
        <w:t>ncula a la autoridad de la administración pública, sí que puede ser valorada de acuerdo al caso en concreto, lo cual es importante, pues no existe un imperativo respecto a no dar trámite a un desistimiento dentro de un procedimiento administrativo sanciona</w:t>
      </w:r>
      <w:r>
        <w:rPr>
          <w:rFonts w:ascii="Times New Roman" w:eastAsia="Times New Roman" w:hAnsi="Times New Roman" w:cs="Times New Roman"/>
          <w:color w:val="000000"/>
          <w:sz w:val="24"/>
          <w:szCs w:val="24"/>
        </w:rPr>
        <w:t>torio, lo cual permite hacer un análisis de integración, conforme a lo establecido en la LPA. </w:t>
      </w:r>
    </w:p>
    <w:p w:rsidR="00E4530A" w:rsidRDefault="009C1D3D">
      <w:pPr>
        <w:spacing w:before="120" w:after="120" w:line="36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Expuesto todo lo anterior, es importante analizar en este punto, que si bien existe un precedente por parte de este Instituto en distintos casos, respecto a no d</w:t>
      </w:r>
      <w:r>
        <w:rPr>
          <w:rFonts w:ascii="Times New Roman" w:eastAsia="Times New Roman" w:hAnsi="Times New Roman" w:cs="Times New Roman"/>
          <w:color w:val="000000"/>
          <w:sz w:val="24"/>
          <w:szCs w:val="24"/>
        </w:rPr>
        <w:t xml:space="preserve">ar una finalización anticipada del procedimiento, ante un desistimiento de la parte denunciante, </w:t>
      </w:r>
      <w:r>
        <w:rPr>
          <w:rFonts w:ascii="Times New Roman" w:eastAsia="Times New Roman" w:hAnsi="Times New Roman" w:cs="Times New Roman"/>
          <w:i/>
          <w:color w:val="000000"/>
          <w:sz w:val="24"/>
          <w:szCs w:val="24"/>
        </w:rPr>
        <w:t> </w:t>
      </w:r>
      <w:r>
        <w:rPr>
          <w:rFonts w:ascii="Times New Roman" w:eastAsia="Times New Roman" w:hAnsi="Times New Roman" w:cs="Times New Roman"/>
          <w:color w:val="000000"/>
          <w:sz w:val="24"/>
          <w:szCs w:val="24"/>
        </w:rPr>
        <w:t xml:space="preserve">ello no implica </w:t>
      </w:r>
      <w:r>
        <w:rPr>
          <w:rFonts w:ascii="Times New Roman" w:eastAsia="Times New Roman" w:hAnsi="Times New Roman" w:cs="Times New Roman"/>
          <w:i/>
          <w:color w:val="000000"/>
          <w:sz w:val="24"/>
          <w:szCs w:val="24"/>
        </w:rPr>
        <w:t xml:space="preserve">per se </w:t>
      </w:r>
      <w:r>
        <w:rPr>
          <w:rFonts w:ascii="Times New Roman" w:eastAsia="Times New Roman" w:hAnsi="Times New Roman" w:cs="Times New Roman"/>
          <w:color w:val="000000"/>
          <w:sz w:val="24"/>
          <w:szCs w:val="24"/>
        </w:rPr>
        <w:t>que este Instituto deba ceñirse estrictamente a dicha línea resolutiva - o autoprecedente - , pues como ya bien lo ha establecido la Sa</w:t>
      </w:r>
      <w:r>
        <w:rPr>
          <w:rFonts w:ascii="Times New Roman" w:eastAsia="Times New Roman" w:hAnsi="Times New Roman" w:cs="Times New Roman"/>
          <w:color w:val="000000"/>
          <w:sz w:val="24"/>
          <w:szCs w:val="24"/>
        </w:rPr>
        <w:t xml:space="preserve">la de lo Constitucional en su jurisprudencia, </w:t>
      </w:r>
      <w:r>
        <w:rPr>
          <w:rFonts w:ascii="Times New Roman" w:eastAsia="Times New Roman" w:hAnsi="Times New Roman" w:cs="Times New Roman"/>
          <w:i/>
          <w:color w:val="000000"/>
          <w:sz w:val="24"/>
          <w:szCs w:val="24"/>
        </w:rPr>
        <w:t>“…el respeto a los precedentes – como manifestación específica de la seguridad jurídica y el sometimiento de los jueces al ordenamiento jurídico – no significa la imposibilidad de cambiarlos…”</w:t>
      </w:r>
      <w:r>
        <w:rPr>
          <w:rFonts w:ascii="Times New Roman" w:eastAsia="Times New Roman" w:hAnsi="Times New Roman" w:cs="Times New Roman"/>
          <w:i/>
          <w:color w:val="000000"/>
          <w:sz w:val="24"/>
          <w:szCs w:val="24"/>
          <w:vertAlign w:val="superscript"/>
        </w:rPr>
        <w:footnoteReference w:id="1"/>
      </w:r>
      <w:r>
        <w:rPr>
          <w:rFonts w:ascii="Times New Roman" w:eastAsia="Times New Roman" w:hAnsi="Times New Roman" w:cs="Times New Roman"/>
          <w:i/>
          <w:color w:val="000000"/>
          <w:sz w:val="24"/>
          <w:szCs w:val="24"/>
        </w:rPr>
        <w:t xml:space="preserve">. </w:t>
      </w:r>
      <w:r>
        <w:rPr>
          <w:rFonts w:ascii="Times New Roman" w:eastAsia="Times New Roman" w:hAnsi="Times New Roman" w:cs="Times New Roman"/>
          <w:color w:val="000000"/>
          <w:sz w:val="24"/>
          <w:szCs w:val="24"/>
        </w:rPr>
        <w:t>También ha establecido la misma jurisprudencia, que el único requisito para cambiar válidamente el autoprecedente, es que: “</w:t>
      </w:r>
      <w:r>
        <w:rPr>
          <w:rFonts w:ascii="Times New Roman" w:eastAsia="Times New Roman" w:hAnsi="Times New Roman" w:cs="Times New Roman"/>
          <w:i/>
          <w:color w:val="000000"/>
          <w:sz w:val="24"/>
          <w:szCs w:val="24"/>
        </w:rPr>
        <w:t xml:space="preserve">No obstante, para ello se exige que el apartamiento de los precedentes este especialmente justificado –argumentado– con un </w:t>
      </w:r>
      <w:r>
        <w:rPr>
          <w:rFonts w:ascii="Times New Roman" w:eastAsia="Times New Roman" w:hAnsi="Times New Roman" w:cs="Times New Roman"/>
          <w:i/>
          <w:color w:val="000000"/>
          <w:sz w:val="24"/>
          <w:szCs w:val="24"/>
        </w:rPr>
        <w:lastRenderedPageBreak/>
        <w:t xml:space="preserve">análisis </w:t>
      </w:r>
      <w:r>
        <w:rPr>
          <w:rFonts w:ascii="Times New Roman" w:eastAsia="Times New Roman" w:hAnsi="Times New Roman" w:cs="Times New Roman"/>
          <w:i/>
          <w:color w:val="000000"/>
          <w:sz w:val="24"/>
          <w:szCs w:val="24"/>
        </w:rPr>
        <w:t>crítico de la antigua jurisprudencia, que también es susceptible de ser reinterpretada”</w:t>
      </w:r>
      <w:r>
        <w:rPr>
          <w:rFonts w:ascii="Times New Roman" w:eastAsia="Times New Roman" w:hAnsi="Times New Roman" w:cs="Times New Roman"/>
          <w:i/>
          <w:color w:val="000000"/>
          <w:sz w:val="24"/>
          <w:szCs w:val="24"/>
          <w:vertAlign w:val="superscript"/>
        </w:rPr>
        <w:footnoteReference w:id="2"/>
      </w:r>
      <w:r>
        <w:rPr>
          <w:rFonts w:ascii="Times New Roman" w:eastAsia="Times New Roman" w:hAnsi="Times New Roman" w:cs="Times New Roman"/>
          <w:i/>
          <w:color w:val="000000"/>
          <w:sz w:val="24"/>
          <w:szCs w:val="24"/>
        </w:rPr>
        <w:t>.</w:t>
      </w:r>
    </w:p>
    <w:p w:rsidR="00E4530A" w:rsidRDefault="009C1D3D">
      <w:pPr>
        <w:spacing w:before="120" w:after="120" w:line="36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La ruptura del </w:t>
      </w:r>
      <w:r>
        <w:rPr>
          <w:rFonts w:ascii="Times New Roman" w:eastAsia="Times New Roman" w:hAnsi="Times New Roman" w:cs="Times New Roman"/>
          <w:i/>
          <w:color w:val="000000"/>
          <w:sz w:val="24"/>
          <w:szCs w:val="24"/>
        </w:rPr>
        <w:t>stare decisis</w:t>
      </w:r>
      <w:r>
        <w:rPr>
          <w:rFonts w:ascii="Times New Roman" w:eastAsia="Times New Roman" w:hAnsi="Times New Roman" w:cs="Times New Roman"/>
          <w:color w:val="000000"/>
          <w:sz w:val="24"/>
          <w:szCs w:val="24"/>
        </w:rPr>
        <w:t xml:space="preserve"> sugiere un expreso señalamiento de los errores interpretativos de la decisión anterior que se plantea como precedente. Señalar la parcial</w:t>
      </w:r>
      <w:r>
        <w:rPr>
          <w:rFonts w:ascii="Times New Roman" w:eastAsia="Times New Roman" w:hAnsi="Times New Roman" w:cs="Times New Roman"/>
          <w:color w:val="000000"/>
          <w:sz w:val="24"/>
          <w:szCs w:val="24"/>
        </w:rPr>
        <w:t>idad del contexto de la anterior interpretación es una condición necesaria para dotar a la nueva decisión de fuerza argumental y para que satisfaga el estándar de justificación que el cambio de jurisprudencia reclama</w:t>
      </w:r>
      <w:r>
        <w:rPr>
          <w:rFonts w:ascii="Times New Roman" w:eastAsia="Times New Roman" w:hAnsi="Times New Roman" w:cs="Times New Roman"/>
          <w:color w:val="000000"/>
          <w:sz w:val="24"/>
          <w:szCs w:val="24"/>
          <w:vertAlign w:val="superscript"/>
        </w:rPr>
        <w:footnoteReference w:id="3"/>
      </w:r>
      <w:r>
        <w:rPr>
          <w:rFonts w:ascii="Times New Roman" w:eastAsia="Times New Roman" w:hAnsi="Times New Roman" w:cs="Times New Roman"/>
          <w:i/>
          <w:color w:val="000000"/>
          <w:sz w:val="24"/>
          <w:szCs w:val="24"/>
        </w:rPr>
        <w:t>.</w:t>
      </w:r>
    </w:p>
    <w:p w:rsidR="00E4530A" w:rsidRDefault="009C1D3D">
      <w:pPr>
        <w:spacing w:before="120" w:after="120" w:line="36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En ese sentido, en la jurisprudencia </w:t>
      </w:r>
      <w:r>
        <w:rPr>
          <w:rFonts w:ascii="Times New Roman" w:eastAsia="Times New Roman" w:hAnsi="Times New Roman" w:cs="Times New Roman"/>
          <w:color w:val="000000"/>
          <w:sz w:val="24"/>
          <w:szCs w:val="24"/>
        </w:rPr>
        <w:t>comparada se admiten, entre otros supuestos, como circunstancias válidas para modificar un precedente o alejarse de él: estar en presencia de un pronunciamiento cuyos fundamentos normativos son incompletos o erróneamente interpretados; el cambio en la conf</w:t>
      </w:r>
      <w:r>
        <w:rPr>
          <w:rFonts w:ascii="Times New Roman" w:eastAsia="Times New Roman" w:hAnsi="Times New Roman" w:cs="Times New Roman"/>
          <w:color w:val="000000"/>
          <w:sz w:val="24"/>
          <w:szCs w:val="24"/>
        </w:rPr>
        <w:t>ormación subjetiva del Tribunal; y que los fundamentos fácticos que le motivaron han variado sustancialmente al grado del volver incoherente el pronunciamiento originario, con la realidad normada</w:t>
      </w:r>
      <w:r>
        <w:rPr>
          <w:rFonts w:ascii="Times New Roman" w:eastAsia="Times New Roman" w:hAnsi="Times New Roman" w:cs="Times New Roman"/>
          <w:color w:val="000000"/>
          <w:sz w:val="24"/>
          <w:szCs w:val="24"/>
          <w:vertAlign w:val="superscript"/>
        </w:rPr>
        <w:footnoteReference w:id="4"/>
      </w:r>
      <w:r>
        <w:rPr>
          <w:rFonts w:ascii="Times New Roman" w:eastAsia="Times New Roman" w:hAnsi="Times New Roman" w:cs="Times New Roman"/>
          <w:color w:val="000000"/>
          <w:sz w:val="24"/>
          <w:szCs w:val="24"/>
        </w:rPr>
        <w:t>.</w:t>
      </w:r>
    </w:p>
    <w:p w:rsidR="00E4530A" w:rsidRDefault="009C1D3D">
      <w:pPr>
        <w:spacing w:before="240" w:line="36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b/>
          <w:color w:val="000000"/>
          <w:sz w:val="24"/>
          <w:szCs w:val="24"/>
        </w:rPr>
        <w:t xml:space="preserve">IV) </w:t>
      </w:r>
      <w:r>
        <w:rPr>
          <w:rFonts w:ascii="Times New Roman" w:eastAsia="Times New Roman" w:hAnsi="Times New Roman" w:cs="Times New Roman"/>
          <w:color w:val="000000"/>
          <w:sz w:val="24"/>
          <w:szCs w:val="24"/>
        </w:rPr>
        <w:t>Dicho lo anterior, este Instituto considera que, no ob</w:t>
      </w:r>
      <w:r>
        <w:rPr>
          <w:rFonts w:ascii="Times New Roman" w:eastAsia="Times New Roman" w:hAnsi="Times New Roman" w:cs="Times New Roman"/>
          <w:color w:val="000000"/>
          <w:sz w:val="24"/>
          <w:szCs w:val="24"/>
        </w:rPr>
        <w:t>stante, en la generalidad de los casos, no se ha dado trámite al desistimiento de la parte interesada, al hacer un análisis normativo y jurisprudencial el caso concreto, se puede tener por establecido que en el presente caso existen los presupuestos necesa</w:t>
      </w:r>
      <w:r>
        <w:rPr>
          <w:rFonts w:ascii="Times New Roman" w:eastAsia="Times New Roman" w:hAnsi="Times New Roman" w:cs="Times New Roman"/>
          <w:color w:val="000000"/>
          <w:sz w:val="24"/>
          <w:szCs w:val="24"/>
        </w:rPr>
        <w:t xml:space="preserve">rios para que opere el desistimiento presentado por </w:t>
      </w:r>
      <w:r>
        <w:rPr>
          <w:rFonts w:ascii="Times New Roman" w:eastAsia="Times New Roman" w:hAnsi="Times New Roman" w:cs="Times New Roman"/>
          <w:b/>
          <w:color w:val="000000"/>
          <w:sz w:val="24"/>
          <w:szCs w:val="24"/>
        </w:rPr>
        <w:t xml:space="preserve">Manuel Ernesto Escalante Saracais, </w:t>
      </w:r>
      <w:r>
        <w:rPr>
          <w:rFonts w:ascii="Times New Roman" w:eastAsia="Times New Roman" w:hAnsi="Times New Roman" w:cs="Times New Roman"/>
          <w:color w:val="000000"/>
          <w:sz w:val="24"/>
          <w:szCs w:val="24"/>
        </w:rPr>
        <w:t>modificando así el precedente hasta esta fecha adoptado. </w:t>
      </w:r>
    </w:p>
    <w:p w:rsidR="00E4530A" w:rsidRDefault="009C1D3D">
      <w:pPr>
        <w:spacing w:before="240" w:line="36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Uno de los puntos que se han tomado en cuenta para tal aseveración, es que este Instituto reconoce la naturalez</w:t>
      </w:r>
      <w:r>
        <w:rPr>
          <w:rFonts w:ascii="Times New Roman" w:eastAsia="Times New Roman" w:hAnsi="Times New Roman" w:cs="Times New Roman"/>
          <w:color w:val="000000"/>
          <w:sz w:val="24"/>
          <w:szCs w:val="24"/>
        </w:rPr>
        <w:t xml:space="preserve">a disuasiva del procedimiento administrativo sancionatorio en materia de derecho de acceso a la información pública, valorando que el objeto de la ley es contribuir con la transparencia de las actuaciones de las instituciones del Estado (Art. 1 LAIP) </w:t>
      </w:r>
      <w:r>
        <w:rPr>
          <w:rFonts w:ascii="Times New Roman" w:eastAsia="Times New Roman" w:hAnsi="Times New Roman" w:cs="Times New Roman"/>
          <w:color w:val="000000"/>
          <w:sz w:val="24"/>
          <w:szCs w:val="24"/>
        </w:rPr>
        <w:lastRenderedPageBreak/>
        <w:t>es de</w:t>
      </w:r>
      <w:r>
        <w:rPr>
          <w:rFonts w:ascii="Times New Roman" w:eastAsia="Times New Roman" w:hAnsi="Times New Roman" w:cs="Times New Roman"/>
          <w:color w:val="000000"/>
          <w:sz w:val="24"/>
          <w:szCs w:val="24"/>
        </w:rPr>
        <w:t>cir, la potestad sancionadora se constituye en una importante herramienta para la consecución de tal objetivo. </w:t>
      </w:r>
    </w:p>
    <w:p w:rsidR="00E4530A" w:rsidRDefault="009C1D3D">
      <w:pPr>
        <w:spacing w:before="240" w:line="36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Al respecto, en el caso de estudio ha existido una modificación sustancial al cuadro fáctico de la denuncia que dio inicio a este procedimiento,</w:t>
      </w:r>
      <w:r>
        <w:rPr>
          <w:rFonts w:ascii="Times New Roman" w:eastAsia="Times New Roman" w:hAnsi="Times New Roman" w:cs="Times New Roman"/>
          <w:color w:val="000000"/>
          <w:sz w:val="24"/>
          <w:szCs w:val="24"/>
        </w:rPr>
        <w:t xml:space="preserve"> en el sentido que se ha entregado al denunciante el requerimiento de información realizada al Ministerio de Relaciones Exteriores, del cual él mismo ha expresado su conformidad con su contenido -lo cual se confirma con el contenido de la certificación del</w:t>
      </w:r>
      <w:r>
        <w:rPr>
          <w:rFonts w:ascii="Times New Roman" w:eastAsia="Times New Roman" w:hAnsi="Times New Roman" w:cs="Times New Roman"/>
          <w:color w:val="000000"/>
          <w:sz w:val="24"/>
          <w:szCs w:val="24"/>
        </w:rPr>
        <w:t xml:space="preserve"> expediente remitido por el oficial de información del MRREE-. </w:t>
      </w:r>
    </w:p>
    <w:p w:rsidR="00E4530A" w:rsidRDefault="009C1D3D">
      <w:pPr>
        <w:spacing w:before="240" w:line="36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Que esta conducta de entrega de información por parte del MRREE favorece el ejercicio del derecho de acceso a la información de </w:t>
      </w:r>
      <w:r>
        <w:rPr>
          <w:rFonts w:ascii="Times New Roman" w:eastAsia="Times New Roman" w:hAnsi="Times New Roman" w:cs="Times New Roman"/>
          <w:b/>
          <w:color w:val="000000"/>
          <w:sz w:val="24"/>
          <w:szCs w:val="24"/>
        </w:rPr>
        <w:t xml:space="preserve">Manuel Ernesto Escalante Saracais, </w:t>
      </w:r>
      <w:r>
        <w:rPr>
          <w:rFonts w:ascii="Times New Roman" w:eastAsia="Times New Roman" w:hAnsi="Times New Roman" w:cs="Times New Roman"/>
          <w:color w:val="000000"/>
          <w:sz w:val="24"/>
          <w:szCs w:val="24"/>
        </w:rPr>
        <w:t xml:space="preserve">y por lo cual se ha cumplido </w:t>
      </w:r>
      <w:r>
        <w:rPr>
          <w:rFonts w:ascii="Times New Roman" w:eastAsia="Times New Roman" w:hAnsi="Times New Roman" w:cs="Times New Roman"/>
          <w:color w:val="000000"/>
          <w:sz w:val="24"/>
          <w:szCs w:val="24"/>
        </w:rPr>
        <w:t>plenamente tanto el carácter disuasivo del procedimiento administrativo sancionador, como la transparencia de la gestión pública mediante la entrega de la información requerida.</w:t>
      </w:r>
    </w:p>
    <w:p w:rsidR="00E4530A" w:rsidRDefault="009C1D3D">
      <w:pPr>
        <w:spacing w:before="240" w:line="36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Con base a las razones citadas en el punto anterior y al principio de coherenc</w:t>
      </w:r>
      <w:r>
        <w:rPr>
          <w:rFonts w:ascii="Times New Roman" w:eastAsia="Times New Roman" w:hAnsi="Times New Roman" w:cs="Times New Roman"/>
          <w:color w:val="000000"/>
          <w:sz w:val="24"/>
          <w:szCs w:val="24"/>
        </w:rPr>
        <w:t>ia previsto en el art. 3, número 7 de la LAIP, que habilita a la Administración Pública para que se aparte de sus antecedentes administrativos, siempre que tal decisión se motive de forma suficiente, se evoca por este Instituto la realización de integració</w:t>
      </w:r>
      <w:r>
        <w:rPr>
          <w:rFonts w:ascii="Times New Roman" w:eastAsia="Times New Roman" w:hAnsi="Times New Roman" w:cs="Times New Roman"/>
          <w:color w:val="000000"/>
          <w:sz w:val="24"/>
          <w:szCs w:val="24"/>
        </w:rPr>
        <w:t>n normativa y jurisprudencial, bajo el prisma de la LPA, es decir, que si bien la administración pública  no debe abstraerse de su competencia, una vez iniciado el procedimiento administrativo sancionador, sí que con las nuevas reglas establecidas en la LP</w:t>
      </w:r>
      <w:r>
        <w:rPr>
          <w:rFonts w:ascii="Times New Roman" w:eastAsia="Times New Roman" w:hAnsi="Times New Roman" w:cs="Times New Roman"/>
          <w:color w:val="000000"/>
          <w:sz w:val="24"/>
          <w:szCs w:val="24"/>
        </w:rPr>
        <w:t>A en la dualidad Administración Pública-ciudadano, existe fundamento normativo para valorar los argumentos de hecho y de derecho que fundamentan una finalización anticipada del procedimiento, por la vía del desistimiento.</w:t>
      </w:r>
    </w:p>
    <w:p w:rsidR="00E4530A" w:rsidRDefault="009C1D3D">
      <w:pPr>
        <w:spacing w:before="240" w:line="36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Que habiéndose, realizado las consideraciones pertinentes respecto a lo manifestado por el ciudadano denunciante, conforme a lo señalado en el art. 115  de la LPA y confrontado su dicho con el expediente administrativo, valorando que el artículo 58 de la L</w:t>
      </w:r>
      <w:r>
        <w:rPr>
          <w:rFonts w:ascii="Times New Roman" w:eastAsia="Times New Roman" w:hAnsi="Times New Roman" w:cs="Times New Roman"/>
          <w:color w:val="000000"/>
          <w:sz w:val="24"/>
          <w:szCs w:val="24"/>
        </w:rPr>
        <w:t>ey de Acceso a la Información Pública -LAIP- expresa cuáles son las principales funciones de este  Instituto y entre ellas se encuentran garantizar el debido ejercicio del derecho de acceso a la información pública y promover una cultura de transparencia e</w:t>
      </w:r>
      <w:r>
        <w:rPr>
          <w:rFonts w:ascii="Times New Roman" w:eastAsia="Times New Roman" w:hAnsi="Times New Roman" w:cs="Times New Roman"/>
          <w:color w:val="000000"/>
          <w:sz w:val="24"/>
          <w:szCs w:val="24"/>
        </w:rPr>
        <w:t xml:space="preserve">n la sociedad y entre los </w:t>
      </w:r>
      <w:r>
        <w:rPr>
          <w:rFonts w:ascii="Times New Roman" w:eastAsia="Times New Roman" w:hAnsi="Times New Roman" w:cs="Times New Roman"/>
          <w:color w:val="000000"/>
          <w:sz w:val="24"/>
          <w:szCs w:val="24"/>
        </w:rPr>
        <w:lastRenderedPageBreak/>
        <w:t xml:space="preserve">servidores públicos, en atención al principio de máxima publicidad -art. 4 letra a de la LAIP-, lo cual permite reiterar que no se ostenta  </w:t>
      </w:r>
      <w:r>
        <w:rPr>
          <w:rFonts w:ascii="Times New Roman" w:eastAsia="Times New Roman" w:hAnsi="Times New Roman" w:cs="Times New Roman"/>
          <w:i/>
          <w:color w:val="000000"/>
          <w:sz w:val="24"/>
          <w:szCs w:val="24"/>
        </w:rPr>
        <w:t xml:space="preserve">per se </w:t>
      </w:r>
      <w:r>
        <w:rPr>
          <w:rFonts w:ascii="Times New Roman" w:eastAsia="Times New Roman" w:hAnsi="Times New Roman" w:cs="Times New Roman"/>
          <w:color w:val="000000"/>
          <w:sz w:val="24"/>
          <w:szCs w:val="24"/>
        </w:rPr>
        <w:t xml:space="preserve">una naturaleza sancionadora, sino que este Instituto tiene como principal objetivo </w:t>
      </w:r>
      <w:r>
        <w:rPr>
          <w:rFonts w:ascii="Times New Roman" w:eastAsia="Times New Roman" w:hAnsi="Times New Roman" w:cs="Times New Roman"/>
          <w:color w:val="000000"/>
          <w:sz w:val="24"/>
          <w:szCs w:val="24"/>
        </w:rPr>
        <w:t>garantizar que la ciudadanía obtenga  la información que solicite bajo los más altos estándares de transparencia, por lo cual se  debe tener por establecido que en este procedimiento ya operó el efecto disuasivo que se pretendía al instaurar el presente pr</w:t>
      </w:r>
      <w:r>
        <w:rPr>
          <w:rFonts w:ascii="Times New Roman" w:eastAsia="Times New Roman" w:hAnsi="Times New Roman" w:cs="Times New Roman"/>
          <w:color w:val="000000"/>
          <w:sz w:val="24"/>
          <w:szCs w:val="24"/>
        </w:rPr>
        <w:t>ocedimiento administrativo sancionador. </w:t>
      </w:r>
    </w:p>
    <w:p w:rsidR="00E4530A" w:rsidRDefault="009C1D3D">
      <w:pPr>
        <w:spacing w:before="240" w:line="36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Finalmente, debe de tenerse por establecido que proceder al conceder el desistimiento solicitado por el denunciante, se dota de supremacía a los principios que rigen la actividad administrativa y previstos en el art</w:t>
      </w:r>
      <w:r>
        <w:rPr>
          <w:rFonts w:ascii="Times New Roman" w:eastAsia="Times New Roman" w:hAnsi="Times New Roman" w:cs="Times New Roman"/>
          <w:color w:val="000000"/>
          <w:sz w:val="24"/>
          <w:szCs w:val="24"/>
        </w:rPr>
        <w:t>ículo 3 de la LPA, entre ellos el de legalidad por la plena sujeción a la que se somete la administración pública al ordenamiento jurídico, el de proporcionalidad, en tanto que previo a emitir una resolución definitiva, se logró el fin previsto por este In</w:t>
      </w:r>
      <w:r>
        <w:rPr>
          <w:rFonts w:ascii="Times New Roman" w:eastAsia="Times New Roman" w:hAnsi="Times New Roman" w:cs="Times New Roman"/>
          <w:color w:val="000000"/>
          <w:sz w:val="24"/>
          <w:szCs w:val="24"/>
        </w:rPr>
        <w:t>stituto, es decir que continuar con el trámite del mismo eventualmente podría considerarse inepto cualitativamente, bajo la óptica de tal principio, el de economía y buena fe por parte del ente obligado. </w:t>
      </w:r>
    </w:p>
    <w:p w:rsidR="00E4530A" w:rsidRDefault="009C1D3D">
      <w:pPr>
        <w:spacing w:before="240" w:line="36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Además, debe de tenerse en cuenta que el desistimie</w:t>
      </w:r>
      <w:r>
        <w:rPr>
          <w:rFonts w:ascii="Times New Roman" w:eastAsia="Times New Roman" w:hAnsi="Times New Roman" w:cs="Times New Roman"/>
          <w:color w:val="000000"/>
          <w:sz w:val="24"/>
          <w:szCs w:val="24"/>
        </w:rPr>
        <w:t xml:space="preserve">nto solicitado no supone una afectación al interés general o de terceros, en tanto que se ha entregado la información solicitada por </w:t>
      </w:r>
      <w:r>
        <w:rPr>
          <w:rFonts w:ascii="Times New Roman" w:eastAsia="Times New Roman" w:hAnsi="Times New Roman" w:cs="Times New Roman"/>
          <w:b/>
          <w:color w:val="000000"/>
          <w:sz w:val="24"/>
          <w:szCs w:val="24"/>
        </w:rPr>
        <w:t>Manuel Ernesto Escalante Saracais</w:t>
      </w:r>
      <w:r>
        <w:rPr>
          <w:rFonts w:ascii="Times New Roman" w:eastAsia="Times New Roman" w:hAnsi="Times New Roman" w:cs="Times New Roman"/>
          <w:color w:val="000000"/>
          <w:sz w:val="24"/>
          <w:szCs w:val="24"/>
        </w:rPr>
        <w:t>, y por tanto ha quedado a disposición la divulgación de su contenido. </w:t>
      </w:r>
    </w:p>
    <w:p w:rsidR="00E4530A" w:rsidRDefault="009C1D3D">
      <w:pPr>
        <w:spacing w:before="240" w:line="36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Por tanto, de conf</w:t>
      </w:r>
      <w:r>
        <w:rPr>
          <w:rFonts w:ascii="Times New Roman" w:eastAsia="Times New Roman" w:hAnsi="Times New Roman" w:cs="Times New Roman"/>
          <w:color w:val="000000"/>
          <w:sz w:val="24"/>
          <w:szCs w:val="24"/>
        </w:rPr>
        <w:t xml:space="preserve">ormidad con lo antes expuesto y con base en los artículos 6 y 18 de la Constitución de la República, 1, 3, 89, 94, 98 a), 102 de la LAIP, 1, 3, 115, 116 y 139 LPA; este Instituto </w:t>
      </w:r>
      <w:r>
        <w:rPr>
          <w:rFonts w:ascii="Times New Roman" w:eastAsia="Times New Roman" w:hAnsi="Times New Roman" w:cs="Times New Roman"/>
          <w:b/>
          <w:color w:val="000000"/>
          <w:sz w:val="24"/>
          <w:szCs w:val="24"/>
        </w:rPr>
        <w:t>resuelve:</w:t>
      </w:r>
    </w:p>
    <w:p w:rsidR="00E4530A" w:rsidRDefault="009C1D3D">
      <w:pPr>
        <w:spacing w:before="240" w:line="360" w:lineRule="auto"/>
        <w:ind w:firstLine="705"/>
        <w:jc w:val="both"/>
        <w:rPr>
          <w:rFonts w:ascii="Times New Roman" w:eastAsia="Times New Roman" w:hAnsi="Times New Roman" w:cs="Times New Roman"/>
          <w:sz w:val="24"/>
          <w:szCs w:val="24"/>
        </w:rPr>
      </w:pPr>
      <w:r>
        <w:rPr>
          <w:rFonts w:ascii="Times New Roman" w:eastAsia="Times New Roman" w:hAnsi="Times New Roman" w:cs="Times New Roman"/>
          <w:b/>
          <w:color w:val="000000"/>
          <w:sz w:val="24"/>
          <w:szCs w:val="24"/>
        </w:rPr>
        <w:t xml:space="preserve">a) Tener </w:t>
      </w:r>
      <w:r>
        <w:rPr>
          <w:rFonts w:ascii="Times New Roman" w:eastAsia="Times New Roman" w:hAnsi="Times New Roman" w:cs="Times New Roman"/>
          <w:color w:val="000000"/>
          <w:sz w:val="24"/>
          <w:szCs w:val="24"/>
        </w:rPr>
        <w:t xml:space="preserve">por recibido el escrito presentado por </w:t>
      </w:r>
      <w:r>
        <w:rPr>
          <w:rFonts w:ascii="Times New Roman" w:eastAsia="Times New Roman" w:hAnsi="Times New Roman" w:cs="Times New Roman"/>
          <w:b/>
          <w:color w:val="000000"/>
          <w:sz w:val="24"/>
          <w:szCs w:val="24"/>
        </w:rPr>
        <w:t>Manuel Ernesto Esca</w:t>
      </w:r>
      <w:r>
        <w:rPr>
          <w:rFonts w:ascii="Times New Roman" w:eastAsia="Times New Roman" w:hAnsi="Times New Roman" w:cs="Times New Roman"/>
          <w:b/>
          <w:color w:val="000000"/>
          <w:sz w:val="24"/>
          <w:szCs w:val="24"/>
        </w:rPr>
        <w:t>lante Saracais.</w:t>
      </w:r>
    </w:p>
    <w:p w:rsidR="00E4530A" w:rsidRDefault="009C1D3D">
      <w:pPr>
        <w:spacing w:before="240" w:line="360" w:lineRule="auto"/>
        <w:ind w:firstLine="705"/>
        <w:jc w:val="both"/>
        <w:rPr>
          <w:rFonts w:ascii="Times New Roman" w:eastAsia="Times New Roman" w:hAnsi="Times New Roman" w:cs="Times New Roman"/>
          <w:sz w:val="24"/>
          <w:szCs w:val="24"/>
        </w:rPr>
      </w:pPr>
      <w:r>
        <w:rPr>
          <w:rFonts w:ascii="Times New Roman" w:eastAsia="Times New Roman" w:hAnsi="Times New Roman" w:cs="Times New Roman"/>
          <w:b/>
          <w:color w:val="000000"/>
          <w:sz w:val="24"/>
          <w:szCs w:val="24"/>
        </w:rPr>
        <w:t xml:space="preserve">b) Tener por presentado el informe de defensa </w:t>
      </w:r>
      <w:r>
        <w:rPr>
          <w:rFonts w:ascii="Times New Roman" w:eastAsia="Times New Roman" w:hAnsi="Times New Roman" w:cs="Times New Roman"/>
          <w:color w:val="000000"/>
          <w:sz w:val="24"/>
          <w:szCs w:val="24"/>
        </w:rPr>
        <w:t xml:space="preserve">de la funcionaria </w:t>
      </w:r>
      <w:r>
        <w:rPr>
          <w:rFonts w:ascii="Times New Roman" w:eastAsia="Times New Roman" w:hAnsi="Times New Roman" w:cs="Times New Roman"/>
          <w:b/>
          <w:color w:val="000000"/>
          <w:sz w:val="24"/>
          <w:szCs w:val="24"/>
        </w:rPr>
        <w:t xml:space="preserve">Julia María Somoza de Batista, </w:t>
      </w:r>
      <w:r>
        <w:rPr>
          <w:rFonts w:ascii="Times New Roman" w:eastAsia="Times New Roman" w:hAnsi="Times New Roman" w:cs="Times New Roman"/>
          <w:color w:val="000000"/>
          <w:sz w:val="24"/>
          <w:szCs w:val="24"/>
        </w:rPr>
        <w:t>Directora General de Asuntos Jurídicos del Ministerio de Relaciones Exteriores.</w:t>
      </w:r>
    </w:p>
    <w:p w:rsidR="00E4530A" w:rsidRDefault="009C1D3D">
      <w:pPr>
        <w:spacing w:after="240" w:line="36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b/>
          <w:color w:val="000000"/>
          <w:sz w:val="24"/>
          <w:szCs w:val="24"/>
        </w:rPr>
        <w:t>c) Tener</w:t>
      </w:r>
      <w:r>
        <w:rPr>
          <w:rFonts w:ascii="Times New Roman" w:eastAsia="Times New Roman" w:hAnsi="Times New Roman" w:cs="Times New Roman"/>
          <w:color w:val="000000"/>
          <w:sz w:val="24"/>
          <w:szCs w:val="24"/>
        </w:rPr>
        <w:t xml:space="preserve"> por recibida copia certificada del expediente administrativo, remitido por el oficial de información del Ministerio de Relaciones Exteriores con referencia SAI 229-2019.</w:t>
      </w:r>
    </w:p>
    <w:p w:rsidR="00E4530A" w:rsidRDefault="009C1D3D">
      <w:pPr>
        <w:spacing w:before="240" w:line="360" w:lineRule="auto"/>
        <w:ind w:firstLine="705"/>
        <w:jc w:val="both"/>
        <w:rPr>
          <w:rFonts w:ascii="Times New Roman" w:eastAsia="Times New Roman" w:hAnsi="Times New Roman" w:cs="Times New Roman"/>
          <w:sz w:val="24"/>
          <w:szCs w:val="24"/>
        </w:rPr>
      </w:pPr>
      <w:r>
        <w:rPr>
          <w:rFonts w:ascii="Times New Roman" w:eastAsia="Times New Roman" w:hAnsi="Times New Roman" w:cs="Times New Roman"/>
          <w:b/>
          <w:color w:val="000000"/>
          <w:sz w:val="24"/>
          <w:szCs w:val="24"/>
        </w:rPr>
        <w:lastRenderedPageBreak/>
        <w:t xml:space="preserve">d) Sobreseer </w:t>
      </w:r>
      <w:r>
        <w:rPr>
          <w:rFonts w:ascii="Times New Roman" w:eastAsia="Times New Roman" w:hAnsi="Times New Roman" w:cs="Times New Roman"/>
          <w:color w:val="000000"/>
          <w:sz w:val="24"/>
          <w:szCs w:val="24"/>
        </w:rPr>
        <w:t xml:space="preserve">a la funcionaria pública </w:t>
      </w:r>
      <w:r>
        <w:rPr>
          <w:rFonts w:ascii="Times New Roman" w:eastAsia="Times New Roman" w:hAnsi="Times New Roman" w:cs="Times New Roman"/>
          <w:b/>
          <w:color w:val="000000"/>
          <w:sz w:val="24"/>
          <w:szCs w:val="24"/>
        </w:rPr>
        <w:t xml:space="preserve">Julia María Somoza de Batista </w:t>
      </w:r>
      <w:r>
        <w:rPr>
          <w:rFonts w:ascii="Times New Roman" w:eastAsia="Times New Roman" w:hAnsi="Times New Roman" w:cs="Times New Roman"/>
          <w:color w:val="000000"/>
          <w:sz w:val="24"/>
          <w:szCs w:val="24"/>
        </w:rPr>
        <w:t>en virtud del des</w:t>
      </w:r>
      <w:r>
        <w:rPr>
          <w:rFonts w:ascii="Times New Roman" w:eastAsia="Times New Roman" w:hAnsi="Times New Roman" w:cs="Times New Roman"/>
          <w:color w:val="000000"/>
          <w:sz w:val="24"/>
          <w:szCs w:val="24"/>
        </w:rPr>
        <w:t>istimiento presentado por la parte denunciante. </w:t>
      </w:r>
    </w:p>
    <w:p w:rsidR="00E4530A" w:rsidRDefault="009C1D3D">
      <w:pPr>
        <w:spacing w:before="240" w:line="360" w:lineRule="auto"/>
        <w:ind w:firstLine="705"/>
        <w:jc w:val="both"/>
        <w:rPr>
          <w:rFonts w:ascii="Times New Roman" w:eastAsia="Times New Roman" w:hAnsi="Times New Roman" w:cs="Times New Roman"/>
          <w:sz w:val="24"/>
          <w:szCs w:val="24"/>
        </w:rPr>
      </w:pPr>
      <w:r>
        <w:rPr>
          <w:rFonts w:ascii="Times New Roman" w:eastAsia="Times New Roman" w:hAnsi="Times New Roman" w:cs="Times New Roman"/>
          <w:b/>
          <w:color w:val="000000"/>
          <w:sz w:val="24"/>
          <w:szCs w:val="24"/>
        </w:rPr>
        <w:t> e) Remitir</w:t>
      </w:r>
      <w:r>
        <w:rPr>
          <w:rFonts w:ascii="Times New Roman" w:eastAsia="Times New Roman" w:hAnsi="Times New Roman" w:cs="Times New Roman"/>
          <w:color w:val="000000"/>
          <w:sz w:val="24"/>
          <w:szCs w:val="24"/>
        </w:rPr>
        <w:t xml:space="preserve"> al archivo este expediente una vez quede firme la presente resolución.</w:t>
      </w:r>
    </w:p>
    <w:p w:rsidR="00E4530A" w:rsidRDefault="009C1D3D">
      <w:pPr>
        <w:spacing w:before="200" w:after="200" w:line="360" w:lineRule="auto"/>
        <w:ind w:firstLine="567"/>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Notifíquese. –</w:t>
      </w:r>
    </w:p>
    <w:p w:rsidR="00E4530A" w:rsidRDefault="00E4530A">
      <w:pPr>
        <w:spacing w:before="200" w:after="200" w:line="360" w:lineRule="auto"/>
        <w:ind w:firstLine="567"/>
        <w:jc w:val="both"/>
        <w:rPr>
          <w:rFonts w:ascii="Times New Roman" w:eastAsia="Times New Roman" w:hAnsi="Times New Roman" w:cs="Times New Roman"/>
          <w:b/>
          <w:color w:val="000000"/>
          <w:sz w:val="24"/>
          <w:szCs w:val="24"/>
        </w:rPr>
      </w:pPr>
    </w:p>
    <w:p w:rsidR="00E4530A" w:rsidRDefault="00E4530A">
      <w:pPr>
        <w:spacing w:before="200" w:after="200" w:line="360" w:lineRule="auto"/>
        <w:ind w:firstLine="567"/>
        <w:jc w:val="both"/>
        <w:rPr>
          <w:rFonts w:ascii="Times New Roman" w:eastAsia="Times New Roman" w:hAnsi="Times New Roman" w:cs="Times New Roman"/>
          <w:sz w:val="24"/>
          <w:szCs w:val="24"/>
        </w:rPr>
      </w:pPr>
    </w:p>
    <w:p w:rsidR="00E4530A" w:rsidRDefault="009C1D3D">
      <w:pPr>
        <w:spacing w:after="24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br/>
      </w:r>
    </w:p>
    <w:p w:rsidR="00E4530A" w:rsidRDefault="009C1D3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color w:val="000000"/>
          <w:sz w:val="24"/>
          <w:szCs w:val="24"/>
        </w:rPr>
        <w:t>PRONUNCIADO POR LAS COMISIONADAS Y EL COMISIONADO QUE LA SUSCRIBEN</w:t>
      </w:r>
    </w:p>
    <w:p w:rsidR="00E4530A" w:rsidRDefault="009C1D3D">
      <w:pPr>
        <w:spacing w:after="24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br/>
      </w:r>
    </w:p>
    <w:p w:rsidR="00E4530A" w:rsidRDefault="009C1D3D">
      <w:pPr>
        <w:spacing w:after="0" w:line="240" w:lineRule="auto"/>
        <w:ind w:hanging="708"/>
        <w:jc w:val="right"/>
        <w:rPr>
          <w:rFonts w:ascii="Times New Roman" w:eastAsia="Times New Roman" w:hAnsi="Times New Roman" w:cs="Times New Roman"/>
          <w:sz w:val="24"/>
          <w:szCs w:val="24"/>
        </w:rPr>
      </w:pPr>
      <w:r>
        <w:rPr>
          <w:rFonts w:ascii="Times New Roman" w:eastAsia="Times New Roman" w:hAnsi="Times New Roman" w:cs="Times New Roman"/>
          <w:b/>
          <w:color w:val="000000"/>
          <w:sz w:val="24"/>
          <w:szCs w:val="24"/>
        </w:rPr>
        <w:t>AA/SD/RV</w:t>
      </w:r>
    </w:p>
    <w:p w:rsidR="00E4530A" w:rsidRDefault="00E4530A"/>
    <w:sectPr w:rsidR="00E4530A">
      <w:footerReference w:type="default" r:id="rId10"/>
      <w:pgSz w:w="12240" w:h="15840"/>
      <w:pgMar w:top="1417" w:right="1701" w:bottom="1417" w:left="1701" w:header="708" w:footer="708"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C1D3D" w:rsidRDefault="009C1D3D">
      <w:pPr>
        <w:spacing w:after="0" w:line="240" w:lineRule="auto"/>
      </w:pPr>
      <w:r>
        <w:separator/>
      </w:r>
    </w:p>
  </w:endnote>
  <w:endnote w:type="continuationSeparator" w:id="0">
    <w:p w:rsidR="009C1D3D" w:rsidRDefault="009C1D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Georgia">
    <w:panose1 w:val="02040502050405020303"/>
    <w:charset w:val="00"/>
    <w:family w:val="auto"/>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530A" w:rsidRDefault="009C1D3D">
    <w:pPr>
      <w:pBdr>
        <w:top w:val="nil"/>
        <w:left w:val="nil"/>
        <w:bottom w:val="nil"/>
        <w:right w:val="nil"/>
        <w:between w:val="nil"/>
      </w:pBdr>
      <w:tabs>
        <w:tab w:val="center" w:pos="4419"/>
        <w:tab w:val="right" w:pos="8838"/>
      </w:tabs>
      <w:spacing w:after="0" w:line="240" w:lineRule="auto"/>
      <w:jc w:val="center"/>
      <w:rPr>
        <w:color w:val="000000"/>
      </w:rPr>
    </w:pPr>
    <w:r>
      <w:rPr>
        <w:color w:val="000000"/>
      </w:rPr>
      <w:t xml:space="preserve">Página </w:t>
    </w:r>
    <w:r>
      <w:rPr>
        <w:b/>
        <w:color w:val="000000"/>
        <w:sz w:val="24"/>
        <w:szCs w:val="24"/>
      </w:rPr>
      <w:fldChar w:fldCharType="begin"/>
    </w:r>
    <w:r>
      <w:rPr>
        <w:b/>
        <w:color w:val="000000"/>
        <w:sz w:val="24"/>
        <w:szCs w:val="24"/>
      </w:rPr>
      <w:instrText>PAGE</w:instrText>
    </w:r>
    <w:r w:rsidR="0013491A">
      <w:rPr>
        <w:b/>
        <w:color w:val="000000"/>
        <w:sz w:val="24"/>
        <w:szCs w:val="24"/>
      </w:rPr>
      <w:fldChar w:fldCharType="separate"/>
    </w:r>
    <w:r w:rsidR="0013491A">
      <w:rPr>
        <w:b/>
        <w:noProof/>
        <w:color w:val="000000"/>
        <w:sz w:val="24"/>
        <w:szCs w:val="24"/>
      </w:rPr>
      <w:t>2</w:t>
    </w:r>
    <w:r>
      <w:rPr>
        <w:b/>
        <w:color w:val="000000"/>
        <w:sz w:val="24"/>
        <w:szCs w:val="24"/>
      </w:rPr>
      <w:fldChar w:fldCharType="end"/>
    </w:r>
    <w:r>
      <w:rPr>
        <w:color w:val="000000"/>
      </w:rPr>
      <w:t xml:space="preserve"> de </w:t>
    </w:r>
    <w:r>
      <w:rPr>
        <w:b/>
        <w:color w:val="000000"/>
        <w:sz w:val="24"/>
        <w:szCs w:val="24"/>
      </w:rPr>
      <w:fldChar w:fldCharType="begin"/>
    </w:r>
    <w:r>
      <w:rPr>
        <w:b/>
        <w:color w:val="000000"/>
        <w:sz w:val="24"/>
        <w:szCs w:val="24"/>
      </w:rPr>
      <w:instrText>NUMPAGES</w:instrText>
    </w:r>
    <w:r w:rsidR="0013491A">
      <w:rPr>
        <w:b/>
        <w:color w:val="000000"/>
        <w:sz w:val="24"/>
        <w:szCs w:val="24"/>
      </w:rPr>
      <w:fldChar w:fldCharType="separate"/>
    </w:r>
    <w:r w:rsidR="0013491A">
      <w:rPr>
        <w:b/>
        <w:noProof/>
        <w:color w:val="000000"/>
        <w:sz w:val="24"/>
        <w:szCs w:val="24"/>
      </w:rPr>
      <w:t>10</w:t>
    </w:r>
    <w:r>
      <w:rPr>
        <w:b/>
        <w:color w:val="000000"/>
        <w:sz w:val="24"/>
        <w:szCs w:val="24"/>
      </w:rPr>
      <w:fldChar w:fldCharType="end"/>
    </w:r>
  </w:p>
  <w:p w:rsidR="00E4530A" w:rsidRDefault="00E4530A">
    <w:pPr>
      <w:pBdr>
        <w:top w:val="nil"/>
        <w:left w:val="nil"/>
        <w:bottom w:val="nil"/>
        <w:right w:val="nil"/>
        <w:between w:val="nil"/>
      </w:pBdr>
      <w:tabs>
        <w:tab w:val="center" w:pos="4419"/>
        <w:tab w:val="right" w:pos="8838"/>
      </w:tabs>
      <w:spacing w:after="0" w:line="240" w:lineRule="auto"/>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C1D3D" w:rsidRDefault="009C1D3D">
      <w:pPr>
        <w:spacing w:after="0" w:line="240" w:lineRule="auto"/>
      </w:pPr>
      <w:r>
        <w:separator/>
      </w:r>
    </w:p>
  </w:footnote>
  <w:footnote w:type="continuationSeparator" w:id="0">
    <w:p w:rsidR="009C1D3D" w:rsidRDefault="009C1D3D">
      <w:pPr>
        <w:spacing w:after="0" w:line="240" w:lineRule="auto"/>
      </w:pPr>
      <w:r>
        <w:continuationSeparator/>
      </w:r>
    </w:p>
  </w:footnote>
  <w:footnote w:id="1">
    <w:p w:rsidR="00E4530A" w:rsidRDefault="009C1D3D">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Pr>
          <w:vertAlign w:val="superscript"/>
        </w:rPr>
        <w:footnoteRef/>
      </w:r>
      <w:r>
        <w:rPr>
          <w:rFonts w:ascii="Times New Roman" w:eastAsia="Times New Roman" w:hAnsi="Times New Roman" w:cs="Times New Roman"/>
          <w:color w:val="000000"/>
          <w:sz w:val="20"/>
          <w:szCs w:val="20"/>
        </w:rPr>
        <w:t xml:space="preserve">   Sala de lo Constitucional de la Corte Suprema de Justicia, sentencia de Inconstitucionalidad 1-2010 del 25 de agosto de 2010.</w:t>
      </w:r>
    </w:p>
  </w:footnote>
  <w:footnote w:id="2">
    <w:p w:rsidR="00E4530A" w:rsidRDefault="009C1D3D">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Pr>
          <w:vertAlign w:val="superscript"/>
        </w:rPr>
        <w:footnoteRef/>
      </w:r>
      <w:r>
        <w:rPr>
          <w:rFonts w:ascii="Times New Roman" w:eastAsia="Times New Roman" w:hAnsi="Times New Roman" w:cs="Times New Roman"/>
          <w:color w:val="000000"/>
          <w:sz w:val="20"/>
          <w:szCs w:val="20"/>
        </w:rPr>
        <w:t xml:space="preserve">  Sala de lo Constitucional de la Corte Suprema de Justicia, sentencia de Amparo 1-2011 del 19 de diciembre de 2012.</w:t>
      </w:r>
    </w:p>
  </w:footnote>
  <w:footnote w:id="3">
    <w:p w:rsidR="00E4530A" w:rsidRDefault="009C1D3D">
      <w:pPr>
        <w:pBdr>
          <w:top w:val="nil"/>
          <w:left w:val="nil"/>
          <w:bottom w:val="nil"/>
          <w:right w:val="nil"/>
          <w:between w:val="nil"/>
        </w:pBdr>
        <w:spacing w:after="0" w:line="240" w:lineRule="auto"/>
        <w:jc w:val="both"/>
        <w:rPr>
          <w:color w:val="000000"/>
          <w:sz w:val="20"/>
          <w:szCs w:val="20"/>
        </w:rPr>
      </w:pPr>
      <w:r>
        <w:rPr>
          <w:vertAlign w:val="superscript"/>
        </w:rPr>
        <w:footnoteRef/>
      </w:r>
      <w:r>
        <w:rPr>
          <w:color w:val="000000"/>
          <w:sz w:val="20"/>
          <w:szCs w:val="20"/>
        </w:rPr>
        <w:t xml:space="preserve"> </w:t>
      </w:r>
      <w:r>
        <w:rPr>
          <w:color w:val="000000"/>
          <w:sz w:val="12"/>
          <w:szCs w:val="12"/>
          <w:vertAlign w:val="superscript"/>
        </w:rPr>
        <w:t> </w:t>
      </w:r>
      <w:r>
        <w:rPr>
          <w:rFonts w:ascii="Times New Roman" w:eastAsia="Times New Roman" w:hAnsi="Times New Roman" w:cs="Times New Roman"/>
          <w:color w:val="000000"/>
          <w:sz w:val="20"/>
          <w:szCs w:val="20"/>
        </w:rPr>
        <w:t>Sala de lo Constitucional de la Corte Suprema de Justicia, resolución de las ocho horas con veintidós minutos del día 23 de enero de 2019, en el proceso de Amparo 303-2018</w:t>
      </w:r>
      <w:r>
        <w:rPr>
          <w:color w:val="000000"/>
          <w:sz w:val="20"/>
          <w:szCs w:val="20"/>
        </w:rPr>
        <w:t>.</w:t>
      </w:r>
    </w:p>
  </w:footnote>
  <w:footnote w:id="4">
    <w:p w:rsidR="00E4530A" w:rsidRDefault="009C1D3D">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vertAlign w:val="superscript"/>
        </w:rPr>
        <w:footnoteRef/>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12"/>
          <w:szCs w:val="12"/>
          <w:vertAlign w:val="superscript"/>
        </w:rPr>
        <w:t> </w:t>
      </w:r>
      <w:r>
        <w:rPr>
          <w:rFonts w:ascii="Times New Roman" w:eastAsia="Times New Roman" w:hAnsi="Times New Roman" w:cs="Times New Roman"/>
          <w:i/>
          <w:color w:val="000000"/>
          <w:sz w:val="20"/>
          <w:szCs w:val="20"/>
        </w:rPr>
        <w:t>Ibídem</w:t>
      </w:r>
    </w:p>
    <w:p w:rsidR="00E4530A" w:rsidRDefault="00E4530A">
      <w:pPr>
        <w:pBdr>
          <w:top w:val="nil"/>
          <w:left w:val="nil"/>
          <w:bottom w:val="nil"/>
          <w:right w:val="nil"/>
          <w:between w:val="nil"/>
        </w:pBdr>
        <w:spacing w:after="0" w:line="240" w:lineRule="auto"/>
        <w:rPr>
          <w:color w:val="000000"/>
          <w:sz w:val="20"/>
          <w:szCs w:val="20"/>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817FC4"/>
    <w:multiLevelType w:val="multilevel"/>
    <w:tmpl w:val="C00289AC"/>
    <w:lvl w:ilvl="0">
      <w:start w:val="1"/>
      <w:numFmt w:val="decimal"/>
      <w:lvlText w:val="%1."/>
      <w:lvlJc w:val="left"/>
      <w:pPr>
        <w:ind w:left="0" w:firstLine="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 w15:restartNumberingAfterBreak="0">
    <w:nsid w:val="351E7169"/>
    <w:multiLevelType w:val="multilevel"/>
    <w:tmpl w:val="21B6B32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530A"/>
    <w:rsid w:val="0013491A"/>
    <w:rsid w:val="009C1D3D"/>
    <w:rsid w:val="00E4530A"/>
  </w:rsids>
  <m:mathPr>
    <m:mathFont m:val="Cambria Math"/>
    <m:brkBin m:val="before"/>
    <m:brkBinSub m:val="--"/>
    <m:smallFrac m:val="0"/>
    <m:dispDef/>
    <m:lMargin m:val="0"/>
    <m:rMargin m:val="0"/>
    <m:defJc m:val="centerGroup"/>
    <m:wrapIndent m:val="1440"/>
    <m:intLim m:val="subSup"/>
    <m:naryLim m:val="undOvr"/>
  </m:mathPr>
  <w:themeFontLang w:val="es-S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CD73F8C-1DFB-4B9D-96DB-07095DF08D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es-SV" w:eastAsia="es-SV"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s-419"/>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uesto">
    <w:name w:val="Title"/>
    <w:basedOn w:val="Normal"/>
    <w:next w:val="Normal"/>
    <w:pPr>
      <w:keepNext/>
      <w:keepLines/>
      <w:spacing w:before="480" w:after="120"/>
    </w:pPr>
    <w:rPr>
      <w:b/>
      <w:sz w:val="72"/>
      <w:szCs w:val="72"/>
    </w:rPr>
  </w:style>
  <w:style w:type="paragraph" w:styleId="NormalWeb">
    <w:name w:val="Normal (Web)"/>
    <w:basedOn w:val="Normal"/>
    <w:uiPriority w:val="99"/>
    <w:semiHidden/>
    <w:unhideWhenUsed/>
    <w:rsid w:val="00556D6E"/>
    <w:pPr>
      <w:spacing w:before="100" w:beforeAutospacing="1" w:after="100" w:afterAutospacing="1" w:line="240" w:lineRule="auto"/>
    </w:pPr>
    <w:rPr>
      <w:rFonts w:ascii="Times New Roman" w:eastAsia="Times New Roman" w:hAnsi="Times New Roman" w:cs="Times New Roman"/>
      <w:sz w:val="24"/>
      <w:szCs w:val="24"/>
      <w:lang w:val="es-SV"/>
    </w:rPr>
  </w:style>
  <w:style w:type="character" w:customStyle="1" w:styleId="apple-tab-span">
    <w:name w:val="apple-tab-span"/>
    <w:basedOn w:val="Fuentedeprrafopredeter"/>
    <w:rsid w:val="00556D6E"/>
  </w:style>
  <w:style w:type="paragraph" w:styleId="Encabezado">
    <w:name w:val="header"/>
    <w:basedOn w:val="Normal"/>
    <w:link w:val="EncabezadoCar"/>
    <w:uiPriority w:val="99"/>
    <w:unhideWhenUsed/>
    <w:rsid w:val="00137832"/>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137832"/>
    <w:rPr>
      <w:lang w:val="es-419"/>
    </w:rPr>
  </w:style>
  <w:style w:type="paragraph" w:styleId="Piedepgina">
    <w:name w:val="footer"/>
    <w:basedOn w:val="Normal"/>
    <w:link w:val="PiedepginaCar"/>
    <w:uiPriority w:val="99"/>
    <w:unhideWhenUsed/>
    <w:rsid w:val="00137832"/>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137832"/>
    <w:rPr>
      <w:lang w:val="es-419"/>
    </w:rPr>
  </w:style>
  <w:style w:type="paragraph" w:styleId="Textonotapie">
    <w:name w:val="footnote text"/>
    <w:basedOn w:val="Normal"/>
    <w:link w:val="TextonotapieCar"/>
    <w:uiPriority w:val="99"/>
    <w:semiHidden/>
    <w:unhideWhenUsed/>
    <w:rsid w:val="00137832"/>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137832"/>
    <w:rPr>
      <w:sz w:val="20"/>
      <w:szCs w:val="20"/>
      <w:lang w:val="es-419"/>
    </w:rPr>
  </w:style>
  <w:style w:type="character" w:styleId="Refdenotaalpie">
    <w:name w:val="footnote reference"/>
    <w:basedOn w:val="Fuentedeprrafopredeter"/>
    <w:uiPriority w:val="99"/>
    <w:semiHidden/>
    <w:unhideWhenUsed/>
    <w:rsid w:val="00137832"/>
    <w:rPr>
      <w:vertAlign w:val="superscript"/>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4AQ7iLBsKkcSMO2ybvXWtdvQkw==">AMUW2mXZKOqIlUFxCJ/O7zWmU0N+YcnMbdMQ7YS3ODQidaunrKp4lGVFb+tiVJ0EE1fN+Q26L5pZ/tUbCQMzcHrczHXWQqqPUfxlY3nf31UtaGU/KXWXP0I=</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3158</Words>
  <Characters>17370</Characters>
  <Application>Microsoft Office Word</Application>
  <DocSecurity>0</DocSecurity>
  <Lines>144</Lines>
  <Paragraphs>40</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20488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Equipo</dc:creator>
  <cp:lastModifiedBy>Jefe Juridico 2</cp:lastModifiedBy>
  <cp:revision>2</cp:revision>
  <dcterms:created xsi:type="dcterms:W3CDTF">2021-03-26T21:46:00Z</dcterms:created>
  <dcterms:modified xsi:type="dcterms:W3CDTF">2021-03-26T21:46:00Z</dcterms:modified>
</cp:coreProperties>
</file>